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72"/>
      </w:tblGrid>
      <w:tr w:rsidR="00B01DB8" w:rsidRPr="00B01DB8" w14:paraId="6F19F948" w14:textId="77777777" w:rsidTr="00B01DB8">
        <w:tc>
          <w:tcPr>
            <w:tcW w:w="10772" w:type="dxa"/>
            <w:tcMar>
              <w:top w:w="120" w:type="dxa"/>
              <w:left w:w="200" w:type="dxa"/>
              <w:bottom w:w="120" w:type="dxa"/>
              <w:right w:w="200" w:type="dxa"/>
            </w:tcMar>
          </w:tcPr>
          <w:p w14:paraId="4A490A39" w14:textId="69B3123F" w:rsidR="007222D4" w:rsidRPr="00B01DB8" w:rsidRDefault="006636A4" w:rsidP="00741B7F">
            <w:pPr>
              <w:jc w:val="center"/>
              <w:rPr>
                <w:color w:val="auto"/>
              </w:rPr>
            </w:pPr>
            <w:r w:rsidRPr="00B01DB8">
              <w:rPr>
                <w:b/>
                <w:bCs/>
                <w:color w:val="auto"/>
                <w:sz w:val="32"/>
                <w:szCs w:val="32"/>
              </w:rPr>
              <w:t>FIȘĂ VIZITĂ DE STUDIU</w:t>
            </w:r>
          </w:p>
        </w:tc>
      </w:tr>
    </w:tbl>
    <w:p w14:paraId="527D316C" w14:textId="77777777" w:rsidR="007222D4" w:rsidRDefault="007222D4"/>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8172"/>
      </w:tblGrid>
      <w:tr w:rsidR="00B01DB8" w:rsidRPr="00B01DB8" w14:paraId="4902E260" w14:textId="77777777" w:rsidTr="00B01DB8">
        <w:tc>
          <w:tcPr>
            <w:tcW w:w="2600" w:type="dxa"/>
            <w:tcMar>
              <w:top w:w="80" w:type="dxa"/>
              <w:left w:w="120" w:type="dxa"/>
              <w:bottom w:w="80" w:type="dxa"/>
              <w:right w:w="120" w:type="dxa"/>
            </w:tcMar>
          </w:tcPr>
          <w:p w14:paraId="27DDD63A" w14:textId="77777777" w:rsidR="007222D4" w:rsidRPr="00B01DB8" w:rsidRDefault="006636A4">
            <w:pPr>
              <w:rPr>
                <w:color w:val="auto"/>
              </w:rPr>
            </w:pPr>
            <w:r w:rsidRPr="00B01DB8">
              <w:rPr>
                <w:b/>
                <w:bCs/>
                <w:color w:val="auto"/>
              </w:rPr>
              <w:t>DENUMIRE VIZITĂ DE STUDIU</w:t>
            </w:r>
          </w:p>
        </w:tc>
        <w:tc>
          <w:tcPr>
            <w:tcW w:w="8172" w:type="dxa"/>
            <w:tcMar>
              <w:top w:w="80" w:type="dxa"/>
              <w:left w:w="120" w:type="dxa"/>
              <w:bottom w:w="80" w:type="dxa"/>
              <w:right w:w="120" w:type="dxa"/>
            </w:tcMar>
          </w:tcPr>
          <w:p w14:paraId="04702852" w14:textId="77777777" w:rsidR="007222D4" w:rsidRPr="00B01DB8" w:rsidRDefault="006636A4">
            <w:pPr>
              <w:rPr>
                <w:color w:val="auto"/>
              </w:rPr>
            </w:pPr>
            <w:r w:rsidRPr="00B01DB8">
              <w:rPr>
                <w:b/>
                <w:bCs/>
                <w:color w:val="auto"/>
                <w:sz w:val="22"/>
                <w:szCs w:val="22"/>
              </w:rPr>
              <w:t>Program de Digitalizare pentru instituții publice</w:t>
            </w:r>
          </w:p>
          <w:p w14:paraId="5DC77C92" w14:textId="77777777" w:rsidR="007222D4" w:rsidRPr="00B01DB8" w:rsidRDefault="006636A4">
            <w:pPr>
              <w:spacing w:before="20"/>
              <w:rPr>
                <w:color w:val="auto"/>
              </w:rPr>
            </w:pPr>
            <w:r w:rsidRPr="00B01DB8">
              <w:rPr>
                <w:i/>
                <w:iCs/>
                <w:color w:val="auto"/>
              </w:rPr>
              <w:t>Public Digitalization Program (PDP) — Ediția a 4-a</w:t>
            </w:r>
          </w:p>
        </w:tc>
      </w:tr>
      <w:tr w:rsidR="00B01DB8" w:rsidRPr="00B01DB8" w14:paraId="2074E06A" w14:textId="77777777" w:rsidTr="00B01DB8">
        <w:tc>
          <w:tcPr>
            <w:tcW w:w="2600" w:type="dxa"/>
            <w:tcMar>
              <w:top w:w="80" w:type="dxa"/>
              <w:left w:w="120" w:type="dxa"/>
              <w:bottom w:w="80" w:type="dxa"/>
              <w:right w:w="120" w:type="dxa"/>
            </w:tcMar>
          </w:tcPr>
          <w:p w14:paraId="0EB367F3" w14:textId="77777777" w:rsidR="007222D4" w:rsidRPr="00B01DB8" w:rsidRDefault="006636A4">
            <w:pPr>
              <w:rPr>
                <w:color w:val="auto"/>
              </w:rPr>
            </w:pPr>
            <w:r w:rsidRPr="00B01DB8">
              <w:rPr>
                <w:b/>
                <w:bCs/>
                <w:color w:val="auto"/>
              </w:rPr>
              <w:t>COD</w:t>
            </w:r>
          </w:p>
        </w:tc>
        <w:tc>
          <w:tcPr>
            <w:tcW w:w="8172" w:type="dxa"/>
            <w:tcMar>
              <w:top w:w="80" w:type="dxa"/>
              <w:left w:w="120" w:type="dxa"/>
              <w:bottom w:w="80" w:type="dxa"/>
              <w:right w:w="120" w:type="dxa"/>
            </w:tcMar>
          </w:tcPr>
          <w:p w14:paraId="13A79E69" w14:textId="77777777" w:rsidR="007222D4" w:rsidRPr="00B01DB8" w:rsidRDefault="006636A4">
            <w:pPr>
              <w:spacing w:before="40" w:after="40"/>
              <w:rPr>
                <w:color w:val="auto"/>
              </w:rPr>
            </w:pPr>
            <w:r w:rsidRPr="00B01DB8">
              <w:rPr>
                <w:b/>
                <w:bCs/>
                <w:color w:val="auto"/>
              </w:rPr>
              <w:t>EBS-PDP4/2026</w:t>
            </w:r>
          </w:p>
        </w:tc>
      </w:tr>
      <w:tr w:rsidR="00B01DB8" w:rsidRPr="00B01DB8" w14:paraId="4782D3A4" w14:textId="77777777" w:rsidTr="00B01DB8">
        <w:tc>
          <w:tcPr>
            <w:tcW w:w="2600" w:type="dxa"/>
            <w:tcMar>
              <w:top w:w="80" w:type="dxa"/>
              <w:left w:w="120" w:type="dxa"/>
              <w:bottom w:w="80" w:type="dxa"/>
              <w:right w:w="120" w:type="dxa"/>
            </w:tcMar>
          </w:tcPr>
          <w:p w14:paraId="3ED1F3D0" w14:textId="77777777" w:rsidR="007222D4" w:rsidRPr="00B01DB8" w:rsidRDefault="006636A4">
            <w:pPr>
              <w:rPr>
                <w:color w:val="auto"/>
              </w:rPr>
            </w:pPr>
            <w:r w:rsidRPr="00B01DB8">
              <w:rPr>
                <w:b/>
                <w:bCs/>
                <w:color w:val="auto"/>
              </w:rPr>
              <w:t>LOCAȚIE</w:t>
            </w:r>
          </w:p>
        </w:tc>
        <w:tc>
          <w:tcPr>
            <w:tcW w:w="8172" w:type="dxa"/>
            <w:tcMar>
              <w:top w:w="80" w:type="dxa"/>
              <w:left w:w="120" w:type="dxa"/>
              <w:bottom w:w="80" w:type="dxa"/>
              <w:right w:w="120" w:type="dxa"/>
            </w:tcMar>
          </w:tcPr>
          <w:p w14:paraId="178339F9" w14:textId="77777777" w:rsidR="007222D4" w:rsidRPr="00B01DB8" w:rsidRDefault="006636A4">
            <w:pPr>
              <w:spacing w:before="40" w:after="40"/>
              <w:rPr>
                <w:color w:val="auto"/>
              </w:rPr>
            </w:pPr>
            <w:r w:rsidRPr="00B01DB8">
              <w:rPr>
                <w:color w:val="auto"/>
              </w:rPr>
              <w:t>Cáceres, Mérida, Sevilla, Guadalupe — Spania</w:t>
            </w:r>
          </w:p>
          <w:p w14:paraId="2053BCE8" w14:textId="77777777" w:rsidR="007222D4" w:rsidRPr="00B01DB8" w:rsidRDefault="006636A4">
            <w:pPr>
              <w:spacing w:before="20"/>
              <w:rPr>
                <w:color w:val="auto"/>
              </w:rPr>
            </w:pPr>
            <w:r w:rsidRPr="00B01DB8">
              <w:rPr>
                <w:i/>
                <w:iCs/>
                <w:color w:val="auto"/>
                <w:sz w:val="18"/>
                <w:szCs w:val="18"/>
              </w:rPr>
              <w:t>Cazare: Alcántara Hotel***, Avda. Virgen de Guadalupe 14, 10001 Cáceres</w:t>
            </w:r>
          </w:p>
        </w:tc>
      </w:tr>
      <w:tr w:rsidR="00B01DB8" w:rsidRPr="00B01DB8" w14:paraId="254B93D0" w14:textId="77777777" w:rsidTr="00B01DB8">
        <w:tc>
          <w:tcPr>
            <w:tcW w:w="2600" w:type="dxa"/>
            <w:tcMar>
              <w:top w:w="80" w:type="dxa"/>
              <w:left w:w="120" w:type="dxa"/>
              <w:bottom w:w="80" w:type="dxa"/>
              <w:right w:w="120" w:type="dxa"/>
            </w:tcMar>
          </w:tcPr>
          <w:p w14:paraId="00FE1FBC" w14:textId="77777777" w:rsidR="007222D4" w:rsidRPr="00B01DB8" w:rsidRDefault="006636A4">
            <w:pPr>
              <w:rPr>
                <w:color w:val="auto"/>
              </w:rPr>
            </w:pPr>
            <w:r w:rsidRPr="00B01DB8">
              <w:rPr>
                <w:b/>
                <w:bCs/>
                <w:color w:val="auto"/>
              </w:rPr>
              <w:t>FURNIZOR</w:t>
            </w:r>
          </w:p>
        </w:tc>
        <w:tc>
          <w:tcPr>
            <w:tcW w:w="8172" w:type="dxa"/>
            <w:tcMar>
              <w:top w:w="80" w:type="dxa"/>
              <w:left w:w="120" w:type="dxa"/>
              <w:bottom w:w="80" w:type="dxa"/>
              <w:right w:w="120" w:type="dxa"/>
            </w:tcMar>
          </w:tcPr>
          <w:p w14:paraId="30142B04" w14:textId="77777777" w:rsidR="007222D4" w:rsidRPr="00B01DB8" w:rsidRDefault="006636A4">
            <w:pPr>
              <w:spacing w:before="40" w:after="40"/>
              <w:rPr>
                <w:color w:val="auto"/>
              </w:rPr>
            </w:pPr>
            <w:r w:rsidRPr="00B01DB8">
              <w:rPr>
                <w:b/>
                <w:bCs/>
                <w:color w:val="auto"/>
              </w:rPr>
              <w:t>EBS Business School</w:t>
            </w:r>
          </w:p>
          <w:p w14:paraId="10C30961" w14:textId="77777777" w:rsidR="007222D4" w:rsidRPr="00B01DB8" w:rsidRDefault="006636A4">
            <w:pPr>
              <w:spacing w:before="20"/>
              <w:rPr>
                <w:color w:val="auto"/>
              </w:rPr>
            </w:pPr>
            <w:r w:rsidRPr="00B01DB8">
              <w:rPr>
                <w:color w:val="auto"/>
                <w:sz w:val="18"/>
                <w:szCs w:val="18"/>
              </w:rPr>
              <w:t>Tel. +34 620840939 | info@ebs.es</w:t>
            </w:r>
          </w:p>
        </w:tc>
      </w:tr>
      <w:tr w:rsidR="00B01DB8" w:rsidRPr="00B01DB8" w14:paraId="6850652E" w14:textId="77777777" w:rsidTr="00B01DB8">
        <w:tc>
          <w:tcPr>
            <w:tcW w:w="2600" w:type="dxa"/>
            <w:tcMar>
              <w:top w:w="80" w:type="dxa"/>
              <w:left w:w="120" w:type="dxa"/>
              <w:bottom w:w="80" w:type="dxa"/>
              <w:right w:w="120" w:type="dxa"/>
            </w:tcMar>
          </w:tcPr>
          <w:p w14:paraId="5F724BEB" w14:textId="77777777" w:rsidR="007222D4" w:rsidRPr="00B01DB8" w:rsidRDefault="006636A4">
            <w:pPr>
              <w:rPr>
                <w:color w:val="auto"/>
              </w:rPr>
            </w:pPr>
            <w:r w:rsidRPr="00B01DB8">
              <w:rPr>
                <w:b/>
                <w:bCs/>
                <w:color w:val="auto"/>
              </w:rPr>
              <w:t>LIMBA DE PREDARE</w:t>
            </w:r>
          </w:p>
        </w:tc>
        <w:tc>
          <w:tcPr>
            <w:tcW w:w="8172" w:type="dxa"/>
            <w:tcMar>
              <w:top w:w="80" w:type="dxa"/>
              <w:left w:w="120" w:type="dxa"/>
              <w:bottom w:w="80" w:type="dxa"/>
              <w:right w:w="120" w:type="dxa"/>
            </w:tcMar>
          </w:tcPr>
          <w:p w14:paraId="3ED76527" w14:textId="77777777" w:rsidR="007222D4" w:rsidRPr="00B01DB8" w:rsidRDefault="006636A4">
            <w:pPr>
              <w:spacing w:before="40" w:after="40"/>
              <w:rPr>
                <w:color w:val="auto"/>
              </w:rPr>
            </w:pPr>
            <w:r w:rsidRPr="00B01DB8">
              <w:rPr>
                <w:color w:val="auto"/>
              </w:rPr>
              <w:t>Engleză</w:t>
            </w:r>
          </w:p>
        </w:tc>
      </w:tr>
      <w:tr w:rsidR="00B01DB8" w:rsidRPr="00B01DB8" w14:paraId="1A61225E" w14:textId="77777777" w:rsidTr="00B01DB8">
        <w:tc>
          <w:tcPr>
            <w:tcW w:w="2600" w:type="dxa"/>
            <w:tcMar>
              <w:top w:w="80" w:type="dxa"/>
              <w:left w:w="120" w:type="dxa"/>
              <w:bottom w:w="80" w:type="dxa"/>
              <w:right w:w="120" w:type="dxa"/>
            </w:tcMar>
          </w:tcPr>
          <w:p w14:paraId="6F4671A5" w14:textId="77777777" w:rsidR="007222D4" w:rsidRPr="00B01DB8" w:rsidRDefault="006636A4">
            <w:pPr>
              <w:rPr>
                <w:color w:val="auto"/>
              </w:rPr>
            </w:pPr>
            <w:r w:rsidRPr="00B01DB8">
              <w:rPr>
                <w:b/>
                <w:bCs/>
                <w:color w:val="auto"/>
              </w:rPr>
              <w:t>PERIOADA</w:t>
            </w:r>
          </w:p>
        </w:tc>
        <w:tc>
          <w:tcPr>
            <w:tcW w:w="8172" w:type="dxa"/>
            <w:tcMar>
              <w:top w:w="80" w:type="dxa"/>
              <w:left w:w="120" w:type="dxa"/>
              <w:bottom w:w="80" w:type="dxa"/>
              <w:right w:w="120" w:type="dxa"/>
            </w:tcMar>
          </w:tcPr>
          <w:p w14:paraId="7C82C245" w14:textId="77777777" w:rsidR="007222D4" w:rsidRPr="00B01DB8" w:rsidRDefault="006636A4">
            <w:pPr>
              <w:rPr>
                <w:color w:val="auto"/>
              </w:rPr>
            </w:pPr>
            <w:r w:rsidRPr="00B01DB8">
              <w:rPr>
                <w:b/>
                <w:bCs/>
                <w:color w:val="auto"/>
              </w:rPr>
              <w:t>10 – 16 mai 2026 (7 zile, din care 5 zile de program)</w:t>
            </w:r>
          </w:p>
          <w:p w14:paraId="3F63D0AB" w14:textId="250852A7" w:rsidR="007222D4" w:rsidRPr="00B01DB8" w:rsidRDefault="006636A4">
            <w:pPr>
              <w:spacing w:before="30"/>
              <w:rPr>
                <w:color w:val="auto"/>
              </w:rPr>
            </w:pPr>
            <w:r w:rsidRPr="00B01DB8">
              <w:rPr>
                <w:color w:val="auto"/>
              </w:rPr>
              <w:t>Duminică 10 mai — zbor dus București</w:t>
            </w:r>
            <w:r w:rsidR="00741B7F" w:rsidRPr="00B01DB8">
              <w:rPr>
                <w:color w:val="auto"/>
              </w:rPr>
              <w:t xml:space="preserve"> / Suceava</w:t>
            </w:r>
            <w:r w:rsidRPr="00B01DB8">
              <w:rPr>
                <w:color w:val="auto"/>
              </w:rPr>
              <w:t>– Madrid</w:t>
            </w:r>
          </w:p>
          <w:p w14:paraId="734916D8" w14:textId="77777777" w:rsidR="007222D4" w:rsidRPr="00B01DB8" w:rsidRDefault="006636A4">
            <w:pPr>
              <w:spacing w:before="10"/>
              <w:rPr>
                <w:color w:val="auto"/>
              </w:rPr>
            </w:pPr>
            <w:r w:rsidRPr="00B01DB8">
              <w:rPr>
                <w:color w:val="auto"/>
              </w:rPr>
              <w:t>Luni – Vineri, 11–15 mai — program de vizite și sesiuni</w:t>
            </w:r>
          </w:p>
          <w:p w14:paraId="55FE5DCB" w14:textId="195EA709" w:rsidR="007222D4" w:rsidRPr="00B01DB8" w:rsidRDefault="006636A4" w:rsidP="00741B7F">
            <w:pPr>
              <w:spacing w:before="30"/>
              <w:rPr>
                <w:color w:val="auto"/>
              </w:rPr>
            </w:pPr>
            <w:r w:rsidRPr="00B01DB8">
              <w:rPr>
                <w:color w:val="auto"/>
              </w:rPr>
              <w:t>Sâmbătă 16 mai — transfer Cáceres – Madrid, zbor retur</w:t>
            </w:r>
            <w:r w:rsidR="00741B7F" w:rsidRPr="00B01DB8">
              <w:rPr>
                <w:color w:val="auto"/>
              </w:rPr>
              <w:t xml:space="preserve"> Madrid - București / Suceava</w:t>
            </w:r>
          </w:p>
        </w:tc>
      </w:tr>
      <w:tr w:rsidR="00B01DB8" w:rsidRPr="00B01DB8" w14:paraId="3A0DAA93" w14:textId="77777777" w:rsidTr="00B01DB8">
        <w:tc>
          <w:tcPr>
            <w:tcW w:w="2600" w:type="dxa"/>
            <w:tcMar>
              <w:top w:w="80" w:type="dxa"/>
              <w:left w:w="120" w:type="dxa"/>
              <w:bottom w:w="80" w:type="dxa"/>
              <w:right w:w="120" w:type="dxa"/>
            </w:tcMar>
          </w:tcPr>
          <w:p w14:paraId="1B704006" w14:textId="77777777" w:rsidR="007222D4" w:rsidRPr="00B01DB8" w:rsidRDefault="006636A4">
            <w:pPr>
              <w:rPr>
                <w:color w:val="auto"/>
              </w:rPr>
            </w:pPr>
            <w:r w:rsidRPr="00B01DB8">
              <w:rPr>
                <w:b/>
                <w:bCs/>
                <w:color w:val="auto"/>
              </w:rPr>
              <w:t>LOCURI DISPONIBILE</w:t>
            </w:r>
          </w:p>
        </w:tc>
        <w:tc>
          <w:tcPr>
            <w:tcW w:w="8172" w:type="dxa"/>
            <w:tcMar>
              <w:top w:w="80" w:type="dxa"/>
              <w:left w:w="120" w:type="dxa"/>
              <w:bottom w:w="80" w:type="dxa"/>
              <w:right w:w="120" w:type="dxa"/>
            </w:tcMar>
          </w:tcPr>
          <w:p w14:paraId="3C54F1C8" w14:textId="13403D14" w:rsidR="007222D4" w:rsidRPr="00B01DB8" w:rsidRDefault="006636A4">
            <w:pPr>
              <w:pStyle w:val="ListParagraph"/>
              <w:numPr>
                <w:ilvl w:val="0"/>
                <w:numId w:val="2"/>
              </w:numPr>
              <w:spacing w:before="30" w:after="30"/>
              <w:rPr>
                <w:color w:val="auto"/>
              </w:rPr>
            </w:pPr>
            <w:r w:rsidRPr="00B01DB8">
              <w:rPr>
                <w:b/>
                <w:bCs/>
                <w:color w:val="auto"/>
              </w:rPr>
              <w:t xml:space="preserve">Beneficiari publici din Regiunea Nord-Est — </w:t>
            </w:r>
            <w:r w:rsidR="004A6E02" w:rsidRPr="00B01DB8">
              <w:rPr>
                <w:b/>
                <w:bCs/>
                <w:color w:val="auto"/>
              </w:rPr>
              <w:t>1</w:t>
            </w:r>
            <w:r w:rsidRPr="00B01DB8">
              <w:rPr>
                <w:b/>
                <w:bCs/>
                <w:color w:val="auto"/>
              </w:rPr>
              <w:t>5 persoane</w:t>
            </w:r>
          </w:p>
          <w:p w14:paraId="21CC6A10" w14:textId="06DD8D13" w:rsidR="007222D4" w:rsidRPr="00B01DB8" w:rsidRDefault="006636A4">
            <w:pPr>
              <w:pStyle w:val="ListParagraph"/>
              <w:numPr>
                <w:ilvl w:val="0"/>
                <w:numId w:val="2"/>
              </w:numPr>
              <w:spacing w:before="30" w:after="30"/>
              <w:rPr>
                <w:color w:val="auto"/>
              </w:rPr>
            </w:pPr>
            <w:r w:rsidRPr="00B01DB8">
              <w:rPr>
                <w:b/>
                <w:bCs/>
                <w:color w:val="auto"/>
              </w:rPr>
              <w:t xml:space="preserve">AM PR NE — </w:t>
            </w:r>
            <w:r w:rsidR="004A6E02" w:rsidRPr="00B01DB8">
              <w:rPr>
                <w:b/>
                <w:bCs/>
                <w:color w:val="auto"/>
              </w:rPr>
              <w:t>5</w:t>
            </w:r>
            <w:r w:rsidRPr="00B01DB8">
              <w:rPr>
                <w:b/>
                <w:bCs/>
                <w:color w:val="auto"/>
              </w:rPr>
              <w:t xml:space="preserve"> persoane</w:t>
            </w:r>
          </w:p>
        </w:tc>
      </w:tr>
      <w:tr w:rsidR="00B01DB8" w:rsidRPr="00B01DB8" w14:paraId="4860FCB8" w14:textId="77777777" w:rsidTr="00B01DB8">
        <w:tc>
          <w:tcPr>
            <w:tcW w:w="2600" w:type="dxa"/>
            <w:tcMar>
              <w:top w:w="80" w:type="dxa"/>
              <w:left w:w="120" w:type="dxa"/>
              <w:bottom w:w="80" w:type="dxa"/>
              <w:right w:w="120" w:type="dxa"/>
            </w:tcMar>
          </w:tcPr>
          <w:p w14:paraId="39559D2C" w14:textId="77777777" w:rsidR="007222D4" w:rsidRPr="00B01DB8" w:rsidRDefault="006636A4">
            <w:pPr>
              <w:rPr>
                <w:color w:val="auto"/>
              </w:rPr>
            </w:pPr>
            <w:r w:rsidRPr="00B01DB8">
              <w:rPr>
                <w:b/>
                <w:bCs/>
                <w:color w:val="auto"/>
              </w:rPr>
              <w:t>CUI SE ADRESEAZĂ</w:t>
            </w:r>
          </w:p>
        </w:tc>
        <w:tc>
          <w:tcPr>
            <w:tcW w:w="8172" w:type="dxa"/>
            <w:tcMar>
              <w:top w:w="80" w:type="dxa"/>
              <w:left w:w="120" w:type="dxa"/>
              <w:bottom w:w="80" w:type="dxa"/>
              <w:right w:w="120" w:type="dxa"/>
            </w:tcMar>
          </w:tcPr>
          <w:p w14:paraId="247B7DAC" w14:textId="77777777" w:rsidR="007222D4" w:rsidRPr="00B01DB8" w:rsidRDefault="006636A4">
            <w:pPr>
              <w:spacing w:before="40" w:after="40"/>
              <w:rPr>
                <w:color w:val="auto"/>
              </w:rPr>
            </w:pPr>
            <w:r w:rsidRPr="00B01DB8">
              <w:rPr>
                <w:color w:val="auto"/>
              </w:rPr>
              <w:t>Grupul țintă este format din personalul următoarelor organizații din Regiunea Nord-Est:</w:t>
            </w:r>
          </w:p>
          <w:p w14:paraId="45567B63" w14:textId="77777777" w:rsidR="007222D4" w:rsidRPr="00B01DB8" w:rsidRDefault="006636A4">
            <w:pPr>
              <w:pStyle w:val="ListParagraph"/>
              <w:numPr>
                <w:ilvl w:val="0"/>
                <w:numId w:val="3"/>
              </w:numPr>
              <w:spacing w:before="30" w:after="30"/>
              <w:rPr>
                <w:color w:val="auto"/>
              </w:rPr>
            </w:pPr>
            <w:r w:rsidRPr="00B01DB8">
              <w:rPr>
                <w:color w:val="auto"/>
              </w:rPr>
              <w:t>Personal implicat/angajat din cadrul beneficiarilor și potențialilor beneficiari de finanțare publici: autorități și instituții publice locale, unitățile administrativ-teritoriale comune din zonele urbane funcționale (ZUF) și zonele metropolitane (ZM).</w:t>
            </w:r>
          </w:p>
          <w:p w14:paraId="1F778CCB" w14:textId="0B4A4EDA" w:rsidR="007222D4" w:rsidRPr="00B01DB8" w:rsidRDefault="006636A4" w:rsidP="004A6E02">
            <w:pPr>
              <w:pStyle w:val="ListParagraph"/>
              <w:numPr>
                <w:ilvl w:val="0"/>
                <w:numId w:val="3"/>
              </w:numPr>
              <w:spacing w:before="30" w:after="30"/>
              <w:rPr>
                <w:color w:val="auto"/>
              </w:rPr>
            </w:pPr>
            <w:r w:rsidRPr="00B01DB8">
              <w:rPr>
                <w:color w:val="auto"/>
              </w:rPr>
              <w:t>Personal angajat al ADR Nord-Est, din cadrul AM PR Nord-Est, inclusiv personal din servicii/direcții suport care desfășoară activități dedicate 100% sau parțial pentru Programul Regional Nord-Est 2021–2027.</w:t>
            </w:r>
          </w:p>
        </w:tc>
      </w:tr>
      <w:tr w:rsidR="00B01DB8" w:rsidRPr="00B01DB8" w14:paraId="10046437" w14:textId="77777777" w:rsidTr="00B01DB8">
        <w:tc>
          <w:tcPr>
            <w:tcW w:w="2600" w:type="dxa"/>
            <w:tcMar>
              <w:top w:w="80" w:type="dxa"/>
              <w:left w:w="120" w:type="dxa"/>
              <w:bottom w:w="80" w:type="dxa"/>
              <w:right w:w="120" w:type="dxa"/>
            </w:tcMar>
          </w:tcPr>
          <w:p w14:paraId="4BCC08CB" w14:textId="77777777" w:rsidR="007222D4" w:rsidRPr="00B01DB8" w:rsidRDefault="006636A4">
            <w:pPr>
              <w:rPr>
                <w:color w:val="auto"/>
              </w:rPr>
            </w:pPr>
            <w:r w:rsidRPr="00B01DB8">
              <w:rPr>
                <w:b/>
                <w:bCs/>
                <w:color w:val="auto"/>
              </w:rPr>
              <w:t>DESCRIEREA PROGRAMULUI</w:t>
            </w:r>
          </w:p>
        </w:tc>
        <w:tc>
          <w:tcPr>
            <w:tcW w:w="8172" w:type="dxa"/>
            <w:tcMar>
              <w:top w:w="80" w:type="dxa"/>
              <w:left w:w="120" w:type="dxa"/>
              <w:bottom w:w="80" w:type="dxa"/>
              <w:right w:w="120" w:type="dxa"/>
            </w:tcMar>
          </w:tcPr>
          <w:p w14:paraId="6D7A2770" w14:textId="07732F83" w:rsidR="007222D4" w:rsidRPr="00B01DB8" w:rsidRDefault="006636A4">
            <w:pPr>
              <w:spacing w:before="40" w:after="40"/>
              <w:rPr>
                <w:color w:val="auto"/>
              </w:rPr>
            </w:pPr>
            <w:r w:rsidRPr="00B01DB8">
              <w:rPr>
                <w:color w:val="auto"/>
              </w:rPr>
              <w:t>Programul de formare „Public Digitalization Program” (PDP) este dedicat consolidării capacității administrațiilor publice de a gestiona procesele complexe de transformare digitală. Ediția a 4-a, organizată în mai 2026, aduce participanții în contact direct cu instituții publice, administrații regionale și locale din Extremadura și Andaluzia — regiuni recunoscute pentru modelele lor avansate de digitalizare.</w:t>
            </w:r>
          </w:p>
          <w:p w14:paraId="0247EFC6" w14:textId="77777777" w:rsidR="007222D4" w:rsidRPr="00B01DB8" w:rsidRDefault="007222D4">
            <w:pPr>
              <w:spacing w:before="40"/>
              <w:rPr>
                <w:color w:val="auto"/>
              </w:rPr>
            </w:pPr>
          </w:p>
          <w:p w14:paraId="1CC62A9E" w14:textId="77777777" w:rsidR="007222D4" w:rsidRPr="00B01DB8" w:rsidRDefault="006636A4">
            <w:pPr>
              <w:spacing w:before="40" w:after="40"/>
              <w:rPr>
                <w:color w:val="auto"/>
              </w:rPr>
            </w:pPr>
            <w:r w:rsidRPr="00B01DB8">
              <w:rPr>
                <w:color w:val="auto"/>
              </w:rPr>
              <w:t>Programul cuprinde întâlniri instituționale, masterclass-uri specializate și studii de caz aplicate, combinate cu vizite culturale care reflectă patrimoniul teritoriilor vizitate.</w:t>
            </w:r>
          </w:p>
          <w:p w14:paraId="795D9EE7" w14:textId="77777777" w:rsidR="007222D4" w:rsidRPr="00B01DB8" w:rsidRDefault="007222D4">
            <w:pPr>
              <w:spacing w:before="40"/>
              <w:rPr>
                <w:color w:val="auto"/>
              </w:rPr>
            </w:pPr>
          </w:p>
          <w:p w14:paraId="17A5FAE8" w14:textId="77777777" w:rsidR="007222D4" w:rsidRPr="00B01DB8" w:rsidRDefault="006636A4">
            <w:pPr>
              <w:spacing w:before="40" w:after="40"/>
              <w:rPr>
                <w:color w:val="auto"/>
              </w:rPr>
            </w:pPr>
            <w:r w:rsidRPr="00B01DB8">
              <w:rPr>
                <w:color w:val="auto"/>
              </w:rPr>
              <w:t>Prin conținutul și obiectivele sale, programul sprijină implementarea Priorității 2 — „O regiune mai digitalizată” din Programul Regional Nord-Est 2021–2027, contribuind la:</w:t>
            </w:r>
          </w:p>
          <w:p w14:paraId="2A84CBAA" w14:textId="77777777" w:rsidR="007222D4" w:rsidRPr="00B01DB8" w:rsidRDefault="006636A4">
            <w:pPr>
              <w:pStyle w:val="ListParagraph"/>
              <w:numPr>
                <w:ilvl w:val="0"/>
                <w:numId w:val="2"/>
              </w:numPr>
              <w:spacing w:before="30" w:after="30"/>
              <w:rPr>
                <w:color w:val="auto"/>
              </w:rPr>
            </w:pPr>
            <w:r w:rsidRPr="00B01DB8">
              <w:rPr>
                <w:color w:val="auto"/>
              </w:rPr>
              <w:t>Creșterea competențelor digitale ale personalului din administrația publică;</w:t>
            </w:r>
          </w:p>
          <w:p w14:paraId="4385FF44" w14:textId="77777777" w:rsidR="007222D4" w:rsidRPr="00B01DB8" w:rsidRDefault="006636A4">
            <w:pPr>
              <w:pStyle w:val="ListParagraph"/>
              <w:numPr>
                <w:ilvl w:val="0"/>
                <w:numId w:val="2"/>
              </w:numPr>
              <w:spacing w:before="30" w:after="30"/>
              <w:rPr>
                <w:color w:val="auto"/>
              </w:rPr>
            </w:pPr>
            <w:r w:rsidRPr="00B01DB8">
              <w:rPr>
                <w:color w:val="auto"/>
              </w:rPr>
              <w:t>Modernizarea serviciilor publice prin adoptarea de soluții digitale inovatoare;</w:t>
            </w:r>
          </w:p>
          <w:p w14:paraId="069EAAA0" w14:textId="77777777" w:rsidR="007222D4" w:rsidRPr="00B01DB8" w:rsidRDefault="006636A4">
            <w:pPr>
              <w:pStyle w:val="ListParagraph"/>
              <w:numPr>
                <w:ilvl w:val="0"/>
                <w:numId w:val="2"/>
              </w:numPr>
              <w:spacing w:before="30" w:after="30"/>
              <w:rPr>
                <w:color w:val="auto"/>
              </w:rPr>
            </w:pPr>
            <w:r w:rsidRPr="00B01DB8">
              <w:rPr>
                <w:color w:val="auto"/>
              </w:rPr>
              <w:t>Reducerea decalajelor digitale dintre regiuni și promovarea unei administrații publice eficiente, transparente și orientate spre cetățean.</w:t>
            </w:r>
          </w:p>
        </w:tc>
      </w:tr>
      <w:tr w:rsidR="00B01DB8" w:rsidRPr="00B01DB8" w14:paraId="745FDFFB" w14:textId="77777777" w:rsidTr="00B01DB8">
        <w:tc>
          <w:tcPr>
            <w:tcW w:w="2600" w:type="dxa"/>
            <w:tcMar>
              <w:top w:w="80" w:type="dxa"/>
              <w:left w:w="120" w:type="dxa"/>
              <w:bottom w:w="80" w:type="dxa"/>
              <w:right w:w="120" w:type="dxa"/>
            </w:tcMar>
          </w:tcPr>
          <w:p w14:paraId="13854C47" w14:textId="77777777" w:rsidR="007222D4" w:rsidRPr="00B01DB8" w:rsidRDefault="006636A4">
            <w:pPr>
              <w:rPr>
                <w:color w:val="auto"/>
              </w:rPr>
            </w:pPr>
            <w:r w:rsidRPr="00B01DB8">
              <w:rPr>
                <w:b/>
                <w:bCs/>
                <w:color w:val="auto"/>
              </w:rPr>
              <w:t>AGENDA PROGRAMULUI</w:t>
            </w:r>
          </w:p>
        </w:tc>
        <w:tc>
          <w:tcPr>
            <w:tcW w:w="8172" w:type="dxa"/>
            <w:tcMar>
              <w:top w:w="80" w:type="dxa"/>
              <w:left w:w="120" w:type="dxa"/>
              <w:bottom w:w="80" w:type="dxa"/>
              <w:right w:w="120" w:type="dxa"/>
            </w:tcMar>
          </w:tcPr>
          <w:p w14:paraId="7BCBFF67" w14:textId="77777777" w:rsidR="007222D4" w:rsidRPr="00B01DB8" w:rsidRDefault="006636A4">
            <w:pPr>
              <w:spacing w:before="40" w:after="40"/>
              <w:rPr>
                <w:color w:val="auto"/>
              </w:rPr>
            </w:pPr>
            <w:r w:rsidRPr="00B01DB8">
              <w:rPr>
                <w:b/>
                <w:bCs/>
                <w:color w:val="auto"/>
              </w:rPr>
              <w:t>Luni, 11 mai 2026 — Cáceres</w:t>
            </w:r>
          </w:p>
          <w:p w14:paraId="5C121AC9" w14:textId="77777777" w:rsidR="007222D4" w:rsidRPr="00B01DB8" w:rsidRDefault="006636A4">
            <w:pPr>
              <w:pStyle w:val="ListParagraph"/>
              <w:numPr>
                <w:ilvl w:val="0"/>
                <w:numId w:val="4"/>
              </w:numPr>
              <w:spacing w:before="20" w:after="20"/>
              <w:rPr>
                <w:color w:val="auto"/>
              </w:rPr>
            </w:pPr>
            <w:r w:rsidRPr="00B01DB8">
              <w:rPr>
                <w:color w:val="auto"/>
              </w:rPr>
              <w:t>09:00–11:00 Palacio de la Generala — EBS Business School: sesiune de deschidere (Carlos Ongallo, CEO EBS School)</w:t>
            </w:r>
          </w:p>
          <w:p w14:paraId="3D9A8156" w14:textId="77777777" w:rsidR="007222D4" w:rsidRPr="00B01DB8" w:rsidRDefault="006636A4">
            <w:pPr>
              <w:pStyle w:val="ListParagraph"/>
              <w:numPr>
                <w:ilvl w:val="0"/>
                <w:numId w:val="4"/>
              </w:numPr>
              <w:spacing w:before="20" w:after="20"/>
              <w:rPr>
                <w:color w:val="auto"/>
              </w:rPr>
            </w:pPr>
            <w:r w:rsidRPr="00B01DB8">
              <w:rPr>
                <w:color w:val="auto"/>
              </w:rPr>
              <w:t>Universitatea din Extremadura — Speaker: José Javier Berrocal Olmeda (Vicepresident of Technology)</w:t>
            </w:r>
          </w:p>
          <w:p w14:paraId="6B60A4CB" w14:textId="77777777" w:rsidR="007222D4" w:rsidRPr="00B01DB8" w:rsidRDefault="006636A4">
            <w:pPr>
              <w:pStyle w:val="ListParagraph"/>
              <w:numPr>
                <w:ilvl w:val="0"/>
                <w:numId w:val="4"/>
              </w:numPr>
              <w:spacing w:before="20" w:after="20"/>
              <w:rPr>
                <w:color w:val="auto"/>
              </w:rPr>
            </w:pPr>
            <w:r w:rsidRPr="00B01DB8">
              <w:rPr>
                <w:color w:val="auto"/>
              </w:rPr>
              <w:t>COMPUTAEX / Centrul de Supercalcul — Speaker: Juan Antonio Rico (Director-General)</w:t>
            </w:r>
          </w:p>
          <w:p w14:paraId="759EF6CE" w14:textId="77777777" w:rsidR="007222D4" w:rsidRPr="00B01DB8" w:rsidRDefault="006636A4">
            <w:pPr>
              <w:pStyle w:val="ListParagraph"/>
              <w:numPr>
                <w:ilvl w:val="0"/>
                <w:numId w:val="4"/>
              </w:numPr>
              <w:spacing w:before="20" w:after="20"/>
              <w:rPr>
                <w:color w:val="auto"/>
              </w:rPr>
            </w:pPr>
            <w:r w:rsidRPr="00B01DB8">
              <w:rPr>
                <w:color w:val="auto"/>
              </w:rPr>
              <w:t>12:30–13:30 Diputación de Cáceres / El Círculo — Speakeri: Agustín Aretio, Maribel Orjuela, Alexis Bote</w:t>
            </w:r>
          </w:p>
          <w:p w14:paraId="6E6F2ECD" w14:textId="77777777" w:rsidR="007222D4" w:rsidRPr="00B01DB8" w:rsidRDefault="006636A4">
            <w:pPr>
              <w:pStyle w:val="ListParagraph"/>
              <w:numPr>
                <w:ilvl w:val="0"/>
                <w:numId w:val="4"/>
              </w:numPr>
              <w:spacing w:before="20" w:after="20"/>
              <w:rPr>
                <w:color w:val="auto"/>
              </w:rPr>
            </w:pPr>
            <w:r w:rsidRPr="00B01DB8">
              <w:rPr>
                <w:color w:val="auto"/>
              </w:rPr>
              <w:t>19:00 Tur ghidat al orașului monumental Cáceres</w:t>
            </w:r>
          </w:p>
          <w:p w14:paraId="3A6352F4" w14:textId="77777777" w:rsidR="007222D4" w:rsidRPr="00B01DB8" w:rsidRDefault="007222D4">
            <w:pPr>
              <w:spacing w:before="20"/>
              <w:rPr>
                <w:color w:val="auto"/>
              </w:rPr>
            </w:pPr>
          </w:p>
          <w:p w14:paraId="0F722473" w14:textId="77777777" w:rsidR="007222D4" w:rsidRPr="00B01DB8" w:rsidRDefault="006636A4">
            <w:pPr>
              <w:spacing w:before="40" w:after="40"/>
              <w:rPr>
                <w:color w:val="auto"/>
              </w:rPr>
            </w:pPr>
            <w:r w:rsidRPr="00B01DB8">
              <w:rPr>
                <w:b/>
                <w:bCs/>
                <w:color w:val="auto"/>
              </w:rPr>
              <w:t>Marți, 12 mai 2026 — Mérida</w:t>
            </w:r>
          </w:p>
          <w:p w14:paraId="28ED0008" w14:textId="77777777" w:rsidR="007222D4" w:rsidRPr="00B01DB8" w:rsidRDefault="006636A4">
            <w:pPr>
              <w:pStyle w:val="ListParagraph"/>
              <w:numPr>
                <w:ilvl w:val="0"/>
                <w:numId w:val="4"/>
              </w:numPr>
              <w:spacing w:before="20" w:after="20"/>
              <w:rPr>
                <w:color w:val="auto"/>
              </w:rPr>
            </w:pPr>
            <w:r w:rsidRPr="00B01DB8">
              <w:rPr>
                <w:color w:val="auto"/>
              </w:rPr>
              <w:lastRenderedPageBreak/>
              <w:t>10:30–12:00 Școala de Administrație Publică din Extremadura — Guvernul Regional: Juan Carlos Preciado și Andrés Pascual Nebreda (Secretariatul General pentru Transformare Digitală și Securitate Cibernetică)</w:t>
            </w:r>
          </w:p>
          <w:p w14:paraId="27270BD9" w14:textId="77777777" w:rsidR="007222D4" w:rsidRPr="00B01DB8" w:rsidRDefault="006636A4">
            <w:pPr>
              <w:pStyle w:val="ListParagraph"/>
              <w:numPr>
                <w:ilvl w:val="0"/>
                <w:numId w:val="4"/>
              </w:numPr>
              <w:spacing w:before="20" w:after="20"/>
              <w:rPr>
                <w:color w:val="auto"/>
              </w:rPr>
            </w:pPr>
            <w:r w:rsidRPr="00B01DB8">
              <w:rPr>
                <w:color w:val="auto"/>
              </w:rPr>
              <w:t>12:30 Vizita Teatrului Roman din Mérida</w:t>
            </w:r>
          </w:p>
          <w:p w14:paraId="1FFE4E9D" w14:textId="77777777" w:rsidR="007222D4" w:rsidRPr="00B01DB8" w:rsidRDefault="007222D4">
            <w:pPr>
              <w:spacing w:before="20"/>
              <w:rPr>
                <w:color w:val="auto"/>
              </w:rPr>
            </w:pPr>
          </w:p>
          <w:p w14:paraId="7A1A9B26" w14:textId="77777777" w:rsidR="007222D4" w:rsidRPr="00B01DB8" w:rsidRDefault="006636A4">
            <w:pPr>
              <w:spacing w:before="40" w:after="40"/>
              <w:rPr>
                <w:color w:val="auto"/>
              </w:rPr>
            </w:pPr>
            <w:r w:rsidRPr="00B01DB8">
              <w:rPr>
                <w:b/>
                <w:bCs/>
                <w:color w:val="auto"/>
              </w:rPr>
              <w:t>Miercuri, 13 mai 2026 — Sevilla</w:t>
            </w:r>
          </w:p>
          <w:p w14:paraId="69BEF0E5" w14:textId="77777777" w:rsidR="007222D4" w:rsidRPr="00B01DB8" w:rsidRDefault="006636A4">
            <w:pPr>
              <w:pStyle w:val="ListParagraph"/>
              <w:numPr>
                <w:ilvl w:val="0"/>
                <w:numId w:val="4"/>
              </w:numPr>
              <w:spacing w:before="20" w:after="20"/>
              <w:rPr>
                <w:color w:val="auto"/>
              </w:rPr>
            </w:pPr>
            <w:r w:rsidRPr="00B01DB8">
              <w:rPr>
                <w:color w:val="auto"/>
              </w:rPr>
              <w:t>12:00–14:00 Camera de Comerț din Sevilla — Guvernul Regional Andaluzia: Carmen León Bertrand (Deputy Director of Digital Society); Consiliul Județean Sevilla: Mª Carmen Rodríguez Quirós</w:t>
            </w:r>
          </w:p>
          <w:p w14:paraId="5D2C7734" w14:textId="77777777" w:rsidR="007222D4" w:rsidRPr="00B01DB8" w:rsidRDefault="006636A4">
            <w:pPr>
              <w:pStyle w:val="ListParagraph"/>
              <w:numPr>
                <w:ilvl w:val="0"/>
                <w:numId w:val="4"/>
              </w:numPr>
              <w:spacing w:before="20" w:after="20"/>
              <w:rPr>
                <w:color w:val="auto"/>
              </w:rPr>
            </w:pPr>
            <w:r w:rsidRPr="00B01DB8">
              <w:rPr>
                <w:color w:val="auto"/>
              </w:rPr>
              <w:t>14:00–18:00 Tur liber al orașului Sevilla</w:t>
            </w:r>
          </w:p>
          <w:p w14:paraId="0DE5E2F4" w14:textId="77777777" w:rsidR="007222D4" w:rsidRPr="00B01DB8" w:rsidRDefault="007222D4">
            <w:pPr>
              <w:spacing w:before="20"/>
              <w:rPr>
                <w:color w:val="auto"/>
              </w:rPr>
            </w:pPr>
          </w:p>
          <w:p w14:paraId="4740750B" w14:textId="77777777" w:rsidR="007222D4" w:rsidRPr="00B01DB8" w:rsidRDefault="006636A4">
            <w:pPr>
              <w:spacing w:before="40" w:after="40"/>
              <w:rPr>
                <w:color w:val="auto"/>
              </w:rPr>
            </w:pPr>
            <w:r w:rsidRPr="00B01DB8">
              <w:rPr>
                <w:b/>
                <w:bCs/>
                <w:color w:val="auto"/>
              </w:rPr>
              <w:t>Joi, 14 mai 2026 — Cañamero &amp; Guadalupe</w:t>
            </w:r>
          </w:p>
          <w:p w14:paraId="0ED70F00" w14:textId="77777777" w:rsidR="007222D4" w:rsidRPr="00B01DB8" w:rsidRDefault="006636A4">
            <w:pPr>
              <w:pStyle w:val="ListParagraph"/>
              <w:numPr>
                <w:ilvl w:val="0"/>
                <w:numId w:val="4"/>
              </w:numPr>
              <w:spacing w:before="20" w:after="20"/>
              <w:rPr>
                <w:color w:val="auto"/>
              </w:rPr>
            </w:pPr>
            <w:r w:rsidRPr="00B01DB8">
              <w:rPr>
                <w:color w:val="auto"/>
              </w:rPr>
              <w:t>11:00–12:00 APRODERVI — Speaker: Felipe Sánchez Barba (European Projects Manager)</w:t>
            </w:r>
          </w:p>
          <w:p w14:paraId="6B672AF8" w14:textId="77777777" w:rsidR="007222D4" w:rsidRPr="00B01DB8" w:rsidRDefault="006636A4">
            <w:pPr>
              <w:pStyle w:val="ListParagraph"/>
              <w:numPr>
                <w:ilvl w:val="0"/>
                <w:numId w:val="4"/>
              </w:numPr>
              <w:spacing w:before="20" w:after="20"/>
              <w:rPr>
                <w:color w:val="auto"/>
              </w:rPr>
            </w:pPr>
            <w:r w:rsidRPr="00B01DB8">
              <w:rPr>
                <w:color w:val="auto"/>
              </w:rPr>
              <w:t>12:30–13:30 Mănăstirea Regală Guadalupe — Fr. Vidal Rodríguez, OFM</w:t>
            </w:r>
          </w:p>
          <w:p w14:paraId="6FE8603B" w14:textId="77777777" w:rsidR="007222D4" w:rsidRPr="00B01DB8" w:rsidRDefault="006636A4">
            <w:pPr>
              <w:pStyle w:val="ListParagraph"/>
              <w:numPr>
                <w:ilvl w:val="0"/>
                <w:numId w:val="4"/>
              </w:numPr>
              <w:spacing w:before="20" w:after="20"/>
              <w:rPr>
                <w:color w:val="auto"/>
              </w:rPr>
            </w:pPr>
            <w:r w:rsidRPr="00B01DB8">
              <w:rPr>
                <w:color w:val="auto"/>
              </w:rPr>
              <w:t>14:00 Networking | 17:00–18:30 Vizita Mănăstirii Regale Guadalupe</w:t>
            </w:r>
          </w:p>
          <w:p w14:paraId="40C0A641" w14:textId="77777777" w:rsidR="007222D4" w:rsidRPr="00B01DB8" w:rsidRDefault="007222D4">
            <w:pPr>
              <w:spacing w:before="20"/>
              <w:rPr>
                <w:color w:val="auto"/>
              </w:rPr>
            </w:pPr>
          </w:p>
          <w:p w14:paraId="39B6D7F7" w14:textId="77777777" w:rsidR="007222D4" w:rsidRPr="00B01DB8" w:rsidRDefault="006636A4">
            <w:pPr>
              <w:spacing w:before="40" w:after="40"/>
              <w:rPr>
                <w:color w:val="auto"/>
              </w:rPr>
            </w:pPr>
            <w:r w:rsidRPr="00B01DB8">
              <w:rPr>
                <w:b/>
                <w:bCs/>
                <w:color w:val="auto"/>
              </w:rPr>
              <w:t>Vineri, 15 mai 2026 — Cáceres</w:t>
            </w:r>
          </w:p>
          <w:p w14:paraId="3687FC18" w14:textId="77777777" w:rsidR="007222D4" w:rsidRPr="00B01DB8" w:rsidRDefault="006636A4">
            <w:pPr>
              <w:pStyle w:val="ListParagraph"/>
              <w:numPr>
                <w:ilvl w:val="0"/>
                <w:numId w:val="4"/>
              </w:numPr>
              <w:spacing w:before="20" w:after="20"/>
              <w:rPr>
                <w:color w:val="auto"/>
              </w:rPr>
            </w:pPr>
            <w:r w:rsidRPr="00B01DB8">
              <w:rPr>
                <w:color w:val="auto"/>
              </w:rPr>
              <w:t>10:30–12:00 Consiliul Local Cáceres / Salón de Plenos — Primar Rafael Mateos; Emilio Borrega (Consilier); Antonio Jesús González (IT Department)</w:t>
            </w:r>
          </w:p>
          <w:p w14:paraId="19DEE4A3" w14:textId="77777777" w:rsidR="007222D4" w:rsidRPr="00B01DB8" w:rsidRDefault="006636A4">
            <w:pPr>
              <w:pStyle w:val="ListParagraph"/>
              <w:numPr>
                <w:ilvl w:val="0"/>
                <w:numId w:val="4"/>
              </w:numPr>
              <w:spacing w:before="20" w:after="20"/>
              <w:rPr>
                <w:color w:val="auto"/>
              </w:rPr>
            </w:pPr>
            <w:r w:rsidRPr="00B01DB8">
              <w:rPr>
                <w:color w:val="auto"/>
              </w:rPr>
              <w:t>Acordarea diplomelor</w:t>
            </w:r>
          </w:p>
          <w:p w14:paraId="16F5F25F" w14:textId="77777777" w:rsidR="007222D4" w:rsidRPr="00B01DB8" w:rsidRDefault="006636A4">
            <w:pPr>
              <w:pStyle w:val="ListParagraph"/>
              <w:numPr>
                <w:ilvl w:val="0"/>
                <w:numId w:val="4"/>
              </w:numPr>
              <w:spacing w:before="20" w:after="20"/>
              <w:rPr>
                <w:color w:val="auto"/>
              </w:rPr>
            </w:pPr>
            <w:r w:rsidRPr="00B01DB8">
              <w:rPr>
                <w:color w:val="auto"/>
              </w:rPr>
              <w:t>12:30–13:00 Vizita Muzeului Helga de Alvear</w:t>
            </w:r>
          </w:p>
        </w:tc>
      </w:tr>
      <w:tr w:rsidR="00B01DB8" w:rsidRPr="00B01DB8" w14:paraId="183A328D" w14:textId="77777777" w:rsidTr="00B01DB8">
        <w:tc>
          <w:tcPr>
            <w:tcW w:w="2600" w:type="dxa"/>
            <w:tcMar>
              <w:top w:w="80" w:type="dxa"/>
              <w:left w:w="120" w:type="dxa"/>
              <w:bottom w:w="80" w:type="dxa"/>
              <w:right w:w="120" w:type="dxa"/>
            </w:tcMar>
          </w:tcPr>
          <w:p w14:paraId="1D20863D" w14:textId="77777777" w:rsidR="007222D4" w:rsidRPr="00B01DB8" w:rsidRDefault="006636A4">
            <w:pPr>
              <w:rPr>
                <w:color w:val="auto"/>
              </w:rPr>
            </w:pPr>
            <w:r w:rsidRPr="00B01DB8">
              <w:rPr>
                <w:b/>
                <w:bCs/>
                <w:color w:val="auto"/>
              </w:rPr>
              <w:lastRenderedPageBreak/>
              <w:t>ARIA TEMATICĂ</w:t>
            </w:r>
          </w:p>
        </w:tc>
        <w:tc>
          <w:tcPr>
            <w:tcW w:w="8172" w:type="dxa"/>
            <w:tcMar>
              <w:top w:w="80" w:type="dxa"/>
              <w:left w:w="120" w:type="dxa"/>
              <w:bottom w:w="80" w:type="dxa"/>
              <w:right w:w="120" w:type="dxa"/>
            </w:tcMar>
          </w:tcPr>
          <w:p w14:paraId="03CA94ED" w14:textId="77777777" w:rsidR="007222D4" w:rsidRPr="00B01DB8" w:rsidRDefault="006636A4">
            <w:pPr>
              <w:spacing w:before="40" w:after="40"/>
              <w:rPr>
                <w:color w:val="auto"/>
              </w:rPr>
            </w:pPr>
            <w:r w:rsidRPr="00B01DB8">
              <w:rPr>
                <w:color w:val="auto"/>
              </w:rPr>
              <w:t>Prioritatea 2 — O regiune mai digitalizată</w:t>
            </w:r>
          </w:p>
          <w:p w14:paraId="0DBFF582" w14:textId="77777777" w:rsidR="007222D4" w:rsidRPr="00B01DB8" w:rsidRDefault="006636A4">
            <w:pPr>
              <w:spacing w:before="40" w:after="40"/>
              <w:rPr>
                <w:color w:val="auto"/>
              </w:rPr>
            </w:pPr>
            <w:r w:rsidRPr="00B01DB8">
              <w:rPr>
                <w:color w:val="auto"/>
              </w:rPr>
              <w:t>RSO 1.2</w:t>
            </w:r>
          </w:p>
        </w:tc>
      </w:tr>
      <w:tr w:rsidR="00B01DB8" w:rsidRPr="00B01DB8" w14:paraId="66B3BCAD" w14:textId="77777777" w:rsidTr="00B01DB8">
        <w:tc>
          <w:tcPr>
            <w:tcW w:w="2600" w:type="dxa"/>
            <w:tcMar>
              <w:top w:w="80" w:type="dxa"/>
              <w:left w:w="120" w:type="dxa"/>
              <w:bottom w:w="80" w:type="dxa"/>
              <w:right w:w="120" w:type="dxa"/>
            </w:tcMar>
          </w:tcPr>
          <w:p w14:paraId="0BB21927" w14:textId="77777777" w:rsidR="007222D4" w:rsidRPr="00B01DB8" w:rsidRDefault="006636A4">
            <w:pPr>
              <w:rPr>
                <w:color w:val="auto"/>
              </w:rPr>
            </w:pPr>
            <w:r w:rsidRPr="00B01DB8">
              <w:rPr>
                <w:b/>
                <w:bCs/>
                <w:color w:val="auto"/>
              </w:rPr>
              <w:t>SUBIECTE CHEIE</w:t>
            </w:r>
          </w:p>
        </w:tc>
        <w:tc>
          <w:tcPr>
            <w:tcW w:w="8172" w:type="dxa"/>
            <w:tcMar>
              <w:top w:w="80" w:type="dxa"/>
              <w:left w:w="120" w:type="dxa"/>
              <w:bottom w:w="80" w:type="dxa"/>
              <w:right w:w="120" w:type="dxa"/>
            </w:tcMar>
          </w:tcPr>
          <w:p w14:paraId="4A7B9D0C" w14:textId="77777777" w:rsidR="007222D4" w:rsidRPr="00B01DB8" w:rsidRDefault="006636A4">
            <w:pPr>
              <w:spacing w:before="40" w:after="40"/>
              <w:rPr>
                <w:color w:val="auto"/>
              </w:rPr>
            </w:pPr>
            <w:r w:rsidRPr="00B01DB8">
              <w:rPr>
                <w:b/>
                <w:bCs/>
                <w:color w:val="auto"/>
              </w:rPr>
              <w:t>1. Dezvoltarea competențelor și capitalului uman</w:t>
            </w:r>
          </w:p>
          <w:p w14:paraId="0344B1D3" w14:textId="77777777" w:rsidR="007222D4" w:rsidRPr="00B01DB8" w:rsidRDefault="006636A4">
            <w:pPr>
              <w:pStyle w:val="ListParagraph"/>
              <w:numPr>
                <w:ilvl w:val="0"/>
                <w:numId w:val="2"/>
              </w:numPr>
              <w:spacing w:before="30" w:after="30"/>
              <w:rPr>
                <w:color w:val="auto"/>
              </w:rPr>
            </w:pPr>
            <w:r w:rsidRPr="00B01DB8">
              <w:rPr>
                <w:color w:val="auto"/>
              </w:rPr>
              <w:t>Consolidarea competențelor digitale ale personalului din administrația publică</w:t>
            </w:r>
          </w:p>
          <w:p w14:paraId="7D66A4AB" w14:textId="77777777" w:rsidR="007222D4" w:rsidRPr="00B01DB8" w:rsidRDefault="006636A4">
            <w:pPr>
              <w:pStyle w:val="ListParagraph"/>
              <w:numPr>
                <w:ilvl w:val="0"/>
                <w:numId w:val="2"/>
              </w:numPr>
              <w:spacing w:before="30" w:after="30"/>
              <w:rPr>
                <w:color w:val="auto"/>
              </w:rPr>
            </w:pPr>
            <w:r w:rsidRPr="00B01DB8">
              <w:rPr>
                <w:color w:val="auto"/>
              </w:rPr>
              <w:t>Masterclass-uri specializate: promovare digitală, cloud hosting, digitalizarea documentelor și fluxurilor administrative, colectarea și managementul datelor</w:t>
            </w:r>
          </w:p>
          <w:p w14:paraId="4DDC8DC5" w14:textId="77777777" w:rsidR="007222D4" w:rsidRPr="00B01DB8" w:rsidRDefault="006636A4">
            <w:pPr>
              <w:spacing w:before="40" w:after="40"/>
              <w:rPr>
                <w:color w:val="auto"/>
              </w:rPr>
            </w:pPr>
            <w:r w:rsidRPr="00B01DB8">
              <w:rPr>
                <w:b/>
                <w:bCs/>
                <w:color w:val="auto"/>
              </w:rPr>
              <w:t>2. Modernizarea și digitalizarea administrației publice</w:t>
            </w:r>
          </w:p>
          <w:p w14:paraId="2137A66B" w14:textId="77777777" w:rsidR="007222D4" w:rsidRPr="00B01DB8" w:rsidRDefault="006636A4">
            <w:pPr>
              <w:pStyle w:val="ListParagraph"/>
              <w:numPr>
                <w:ilvl w:val="0"/>
                <w:numId w:val="2"/>
              </w:numPr>
              <w:spacing w:before="30" w:after="30"/>
              <w:rPr>
                <w:color w:val="auto"/>
              </w:rPr>
            </w:pPr>
            <w:r w:rsidRPr="00B01DB8">
              <w:rPr>
                <w:color w:val="auto"/>
              </w:rPr>
              <w:t>Reducerea birocrației prin platforme electronice de servicii</w:t>
            </w:r>
          </w:p>
          <w:p w14:paraId="6EF82744" w14:textId="77777777" w:rsidR="007222D4" w:rsidRPr="00B01DB8" w:rsidRDefault="006636A4">
            <w:pPr>
              <w:pStyle w:val="ListParagraph"/>
              <w:numPr>
                <w:ilvl w:val="0"/>
                <w:numId w:val="2"/>
              </w:numPr>
              <w:spacing w:before="30" w:after="30"/>
              <w:rPr>
                <w:color w:val="auto"/>
              </w:rPr>
            </w:pPr>
            <w:r w:rsidRPr="00B01DB8">
              <w:rPr>
                <w:color w:val="auto"/>
              </w:rPr>
              <w:t>Utilizarea inteligenței artificiale și a supercalculului pentru optimizarea proceselor administrative</w:t>
            </w:r>
          </w:p>
          <w:p w14:paraId="41075816" w14:textId="77777777" w:rsidR="007222D4" w:rsidRPr="00B01DB8" w:rsidRDefault="006636A4">
            <w:pPr>
              <w:pStyle w:val="ListParagraph"/>
              <w:numPr>
                <w:ilvl w:val="0"/>
                <w:numId w:val="2"/>
              </w:numPr>
              <w:spacing w:before="30" w:after="30"/>
              <w:rPr>
                <w:color w:val="auto"/>
              </w:rPr>
            </w:pPr>
            <w:r w:rsidRPr="00B01DB8">
              <w:rPr>
                <w:color w:val="auto"/>
              </w:rPr>
              <w:t>Securitate cibernetică și strategii regionale de transformare digitală</w:t>
            </w:r>
          </w:p>
          <w:p w14:paraId="7586E59A" w14:textId="77777777" w:rsidR="007222D4" w:rsidRPr="00B01DB8" w:rsidRDefault="006636A4">
            <w:pPr>
              <w:spacing w:before="40" w:after="40"/>
              <w:rPr>
                <w:color w:val="auto"/>
              </w:rPr>
            </w:pPr>
            <w:r w:rsidRPr="00B01DB8">
              <w:rPr>
                <w:b/>
                <w:bCs/>
                <w:color w:val="auto"/>
              </w:rPr>
              <w:t>3. Servicii publice incluzive și accesibile</w:t>
            </w:r>
          </w:p>
          <w:p w14:paraId="53234CCA" w14:textId="77777777" w:rsidR="007222D4" w:rsidRPr="00B01DB8" w:rsidRDefault="006636A4">
            <w:pPr>
              <w:pStyle w:val="ListParagraph"/>
              <w:numPr>
                <w:ilvl w:val="0"/>
                <w:numId w:val="2"/>
              </w:numPr>
              <w:spacing w:before="30" w:after="30"/>
              <w:rPr>
                <w:color w:val="auto"/>
              </w:rPr>
            </w:pPr>
            <w:r w:rsidRPr="00B01DB8">
              <w:rPr>
                <w:color w:val="auto"/>
              </w:rPr>
              <w:t>Digitalizarea serviciilor publice în mediul rural și la nivel local</w:t>
            </w:r>
          </w:p>
          <w:p w14:paraId="0C45C75D" w14:textId="77777777" w:rsidR="007222D4" w:rsidRPr="00B01DB8" w:rsidRDefault="006636A4">
            <w:pPr>
              <w:pStyle w:val="ListParagraph"/>
              <w:numPr>
                <w:ilvl w:val="0"/>
                <w:numId w:val="2"/>
              </w:numPr>
              <w:spacing w:before="30" w:after="30"/>
              <w:rPr>
                <w:color w:val="auto"/>
              </w:rPr>
            </w:pPr>
            <w:r w:rsidRPr="00B01DB8">
              <w:rPr>
                <w:color w:val="auto"/>
              </w:rPr>
              <w:t>Instrumente digitale pentru accesul cetățenilor la serviciile publice</w:t>
            </w:r>
          </w:p>
          <w:p w14:paraId="08E3A3EB" w14:textId="77777777" w:rsidR="007222D4" w:rsidRPr="00B01DB8" w:rsidRDefault="006636A4">
            <w:pPr>
              <w:spacing w:before="40" w:after="40"/>
              <w:rPr>
                <w:color w:val="auto"/>
              </w:rPr>
            </w:pPr>
            <w:r w:rsidRPr="00B01DB8">
              <w:rPr>
                <w:b/>
                <w:bCs/>
                <w:color w:val="auto"/>
              </w:rPr>
              <w:t>4. Cooperare și schimb de bune practici</w:t>
            </w:r>
          </w:p>
          <w:p w14:paraId="20142CA4" w14:textId="77777777" w:rsidR="007222D4" w:rsidRPr="00B01DB8" w:rsidRDefault="006636A4">
            <w:pPr>
              <w:pStyle w:val="ListParagraph"/>
              <w:numPr>
                <w:ilvl w:val="0"/>
                <w:numId w:val="2"/>
              </w:numPr>
              <w:spacing w:before="30" w:after="30"/>
              <w:rPr>
                <w:color w:val="auto"/>
              </w:rPr>
            </w:pPr>
            <w:r w:rsidRPr="00B01DB8">
              <w:rPr>
                <w:color w:val="auto"/>
              </w:rPr>
              <w:t>Întâlniri instituționale cu administrații regionale și locale, camere de comerț și organizații de dezvoltare rurală</w:t>
            </w:r>
          </w:p>
          <w:p w14:paraId="410140E2" w14:textId="77777777" w:rsidR="007222D4" w:rsidRPr="00B01DB8" w:rsidRDefault="006636A4">
            <w:pPr>
              <w:pStyle w:val="ListParagraph"/>
              <w:numPr>
                <w:ilvl w:val="0"/>
                <w:numId w:val="2"/>
              </w:numPr>
              <w:spacing w:before="30" w:after="30"/>
              <w:rPr>
                <w:color w:val="auto"/>
              </w:rPr>
            </w:pPr>
            <w:r w:rsidRPr="00B01DB8">
              <w:rPr>
                <w:color w:val="auto"/>
              </w:rPr>
              <w:t>Studii de caz: modele de digitalizare din Extremadura și Andaluzia (COMPUTAEX, Junta de Extremadura, Junta de Andalucía, Diputaciones)</w:t>
            </w:r>
          </w:p>
          <w:p w14:paraId="1DCB8A0A" w14:textId="77777777" w:rsidR="007222D4" w:rsidRPr="00B01DB8" w:rsidRDefault="006636A4">
            <w:pPr>
              <w:spacing w:before="40" w:after="40"/>
              <w:rPr>
                <w:color w:val="auto"/>
              </w:rPr>
            </w:pPr>
            <w:r w:rsidRPr="00B01DB8">
              <w:rPr>
                <w:b/>
                <w:bCs/>
                <w:color w:val="auto"/>
              </w:rPr>
              <w:t>5. Dimensiunea culturală și simbolică</w:t>
            </w:r>
          </w:p>
          <w:p w14:paraId="247B64FF" w14:textId="77777777" w:rsidR="007222D4" w:rsidRPr="00B01DB8" w:rsidRDefault="006636A4">
            <w:pPr>
              <w:pStyle w:val="ListParagraph"/>
              <w:numPr>
                <w:ilvl w:val="0"/>
                <w:numId w:val="2"/>
              </w:numPr>
              <w:spacing w:before="30" w:after="30"/>
              <w:rPr>
                <w:color w:val="auto"/>
              </w:rPr>
            </w:pPr>
            <w:r w:rsidRPr="00B01DB8">
              <w:rPr>
                <w:color w:val="auto"/>
              </w:rPr>
              <w:t>Valorificarea patrimoniului cultural în procesele de transformare digitală (Mănăstirea Guadalupe — UNESCO, Cáceres — oraș UNESCO)</w:t>
            </w:r>
          </w:p>
          <w:p w14:paraId="2CDE496E" w14:textId="77777777" w:rsidR="007222D4" w:rsidRPr="00B01DB8" w:rsidRDefault="006636A4">
            <w:pPr>
              <w:pStyle w:val="ListParagraph"/>
              <w:numPr>
                <w:ilvl w:val="0"/>
                <w:numId w:val="2"/>
              </w:numPr>
              <w:spacing w:before="30" w:after="30"/>
              <w:rPr>
                <w:color w:val="auto"/>
              </w:rPr>
            </w:pPr>
            <w:r w:rsidRPr="00B01DB8">
              <w:rPr>
                <w:color w:val="auto"/>
              </w:rPr>
              <w:t>Viziune multidimensională: progres digital combinat cu dezvoltare durabilă și păstrarea valorilor locale</w:t>
            </w:r>
          </w:p>
        </w:tc>
      </w:tr>
      <w:tr w:rsidR="00B01DB8" w:rsidRPr="00B01DB8" w14:paraId="1FC1B818" w14:textId="77777777" w:rsidTr="00B01DB8">
        <w:tc>
          <w:tcPr>
            <w:tcW w:w="2600" w:type="dxa"/>
            <w:tcMar>
              <w:top w:w="80" w:type="dxa"/>
              <w:left w:w="120" w:type="dxa"/>
              <w:bottom w:w="80" w:type="dxa"/>
              <w:right w:w="120" w:type="dxa"/>
            </w:tcMar>
          </w:tcPr>
          <w:p w14:paraId="185A3023" w14:textId="77777777" w:rsidR="007222D4" w:rsidRPr="00B01DB8" w:rsidRDefault="006636A4">
            <w:pPr>
              <w:rPr>
                <w:color w:val="auto"/>
              </w:rPr>
            </w:pPr>
            <w:r w:rsidRPr="00B01DB8">
              <w:rPr>
                <w:b/>
                <w:bCs/>
                <w:color w:val="auto"/>
              </w:rPr>
              <w:t>FINANȚAT DIN</w:t>
            </w:r>
          </w:p>
        </w:tc>
        <w:tc>
          <w:tcPr>
            <w:tcW w:w="8172" w:type="dxa"/>
            <w:tcMar>
              <w:top w:w="80" w:type="dxa"/>
              <w:left w:w="120" w:type="dxa"/>
              <w:bottom w:w="80" w:type="dxa"/>
              <w:right w:w="120" w:type="dxa"/>
            </w:tcMar>
          </w:tcPr>
          <w:p w14:paraId="56F568C8" w14:textId="77777777" w:rsidR="007222D4" w:rsidRPr="00B01DB8" w:rsidRDefault="006636A4">
            <w:pPr>
              <w:spacing w:before="40" w:after="40"/>
              <w:rPr>
                <w:color w:val="auto"/>
              </w:rPr>
            </w:pPr>
            <w:r w:rsidRPr="00B01DB8">
              <w:rPr>
                <w:color w:val="auto"/>
              </w:rPr>
              <w:t>Programul Regional Nord-Est 2021–2027 — Cod 170</w:t>
            </w:r>
          </w:p>
        </w:tc>
      </w:tr>
      <w:tr w:rsidR="00B01DB8" w:rsidRPr="00B01DB8" w14:paraId="1B2EDB74" w14:textId="77777777" w:rsidTr="00B01DB8">
        <w:tc>
          <w:tcPr>
            <w:tcW w:w="2600" w:type="dxa"/>
            <w:tcMar>
              <w:top w:w="80" w:type="dxa"/>
              <w:left w:w="120" w:type="dxa"/>
              <w:bottom w:w="80" w:type="dxa"/>
              <w:right w:w="120" w:type="dxa"/>
            </w:tcMar>
          </w:tcPr>
          <w:p w14:paraId="65C038B9" w14:textId="77777777" w:rsidR="007222D4" w:rsidRPr="00B01DB8" w:rsidRDefault="006636A4">
            <w:pPr>
              <w:rPr>
                <w:color w:val="auto"/>
              </w:rPr>
            </w:pPr>
            <w:r w:rsidRPr="00B01DB8">
              <w:rPr>
                <w:b/>
                <w:bCs/>
                <w:color w:val="auto"/>
              </w:rPr>
              <w:t>SCOP</w:t>
            </w:r>
          </w:p>
        </w:tc>
        <w:tc>
          <w:tcPr>
            <w:tcW w:w="8172" w:type="dxa"/>
            <w:tcMar>
              <w:top w:w="80" w:type="dxa"/>
              <w:left w:w="120" w:type="dxa"/>
              <w:bottom w:w="80" w:type="dxa"/>
              <w:right w:w="120" w:type="dxa"/>
            </w:tcMar>
          </w:tcPr>
          <w:p w14:paraId="1A4D0067" w14:textId="77777777" w:rsidR="007222D4" w:rsidRPr="00B01DB8" w:rsidRDefault="006636A4">
            <w:pPr>
              <w:spacing w:before="40" w:after="40"/>
              <w:rPr>
                <w:color w:val="auto"/>
              </w:rPr>
            </w:pPr>
            <w:r w:rsidRPr="00B01DB8">
              <w:rPr>
                <w:color w:val="auto"/>
              </w:rPr>
              <w:t>Vizita de studiu organizată în cadrul Programului Public Digitalization Program (ediția a 4-a) are ca scop consolidarea capacității administrațiilor publice locale și regionale de a implementa soluții inovatoare pentru transformarea digitală, în conformitate cu Prioritatea 2 — „O regiune mai digitalizată” din Programul Regional Nord-Est 2021–2027.</w:t>
            </w:r>
          </w:p>
          <w:p w14:paraId="2418D823" w14:textId="77777777" w:rsidR="007222D4" w:rsidRPr="00B01DB8" w:rsidRDefault="006636A4">
            <w:pPr>
              <w:spacing w:before="40" w:after="40"/>
              <w:rPr>
                <w:color w:val="auto"/>
              </w:rPr>
            </w:pPr>
            <w:r w:rsidRPr="00B01DB8">
              <w:rPr>
                <w:color w:val="auto"/>
              </w:rPr>
              <w:t>Prin intermediul acestei activități, participanții vor dobândi competențe practice și teoretice în domeniul digitalizării, vor explora modele de bune practici din administrațiile publice europene și vor înțelege modul în care tehnologiile digitale contribuie la creșterea eficienței instituționale, simplificarea interacțiunii cu cetățenii și reducerea decalajelor digitale.</w:t>
            </w:r>
          </w:p>
          <w:p w14:paraId="68287C9F" w14:textId="77777777" w:rsidR="007222D4" w:rsidRPr="00B01DB8" w:rsidRDefault="007222D4">
            <w:pPr>
              <w:spacing w:before="40"/>
              <w:rPr>
                <w:color w:val="auto"/>
              </w:rPr>
            </w:pPr>
          </w:p>
          <w:p w14:paraId="7441CBA8" w14:textId="77777777" w:rsidR="007222D4" w:rsidRPr="00B01DB8" w:rsidRDefault="006636A4">
            <w:pPr>
              <w:spacing w:before="40" w:after="40"/>
              <w:rPr>
                <w:color w:val="auto"/>
              </w:rPr>
            </w:pPr>
            <w:r w:rsidRPr="00B01DB8">
              <w:rPr>
                <w:color w:val="auto"/>
              </w:rPr>
              <w:t>Vizita oferă totodată un cadru de cooperare interregională și schimb de experiență, sprijinind dezvoltarea unei administrații publice moderne, transparente și orientate spre nevoile comunității.</w:t>
            </w:r>
          </w:p>
        </w:tc>
      </w:tr>
      <w:tr w:rsidR="00B01DB8" w:rsidRPr="00B01DB8" w14:paraId="0D4F162F" w14:textId="77777777" w:rsidTr="00B01DB8">
        <w:tc>
          <w:tcPr>
            <w:tcW w:w="2600" w:type="dxa"/>
            <w:tcMar>
              <w:top w:w="80" w:type="dxa"/>
              <w:left w:w="120" w:type="dxa"/>
              <w:bottom w:w="80" w:type="dxa"/>
              <w:right w:w="120" w:type="dxa"/>
            </w:tcMar>
          </w:tcPr>
          <w:p w14:paraId="6FA5A883" w14:textId="77777777" w:rsidR="007222D4" w:rsidRPr="00B01DB8" w:rsidRDefault="006636A4">
            <w:pPr>
              <w:rPr>
                <w:color w:val="auto"/>
              </w:rPr>
            </w:pPr>
            <w:r w:rsidRPr="00B01DB8">
              <w:rPr>
                <w:b/>
                <w:bCs/>
                <w:color w:val="auto"/>
              </w:rPr>
              <w:lastRenderedPageBreak/>
              <w:t>MAI MULTE INFORMAȚII</w:t>
            </w:r>
          </w:p>
        </w:tc>
        <w:tc>
          <w:tcPr>
            <w:tcW w:w="8172" w:type="dxa"/>
            <w:tcMar>
              <w:top w:w="80" w:type="dxa"/>
              <w:left w:w="120" w:type="dxa"/>
              <w:bottom w:w="80" w:type="dxa"/>
              <w:right w:w="120" w:type="dxa"/>
            </w:tcMar>
          </w:tcPr>
          <w:p w14:paraId="413E8C58" w14:textId="77777777" w:rsidR="007222D4" w:rsidRPr="00B01DB8" w:rsidRDefault="006636A4">
            <w:pPr>
              <w:rPr>
                <w:color w:val="auto"/>
              </w:rPr>
            </w:pPr>
            <w:r w:rsidRPr="00B01DB8">
              <w:rPr>
                <w:b/>
                <w:bCs/>
                <w:color w:val="auto"/>
              </w:rPr>
              <w:t>www.crsnordest.ro</w:t>
            </w:r>
            <w:r w:rsidRPr="00B01DB8">
              <w:rPr>
                <w:color w:val="auto"/>
              </w:rPr>
              <w:t xml:space="preserve"> / cursuri Program Regional 2021–2027</w:t>
            </w:r>
          </w:p>
          <w:p w14:paraId="179AF565" w14:textId="77777777" w:rsidR="007222D4" w:rsidRPr="00B01DB8" w:rsidRDefault="006636A4">
            <w:pPr>
              <w:spacing w:before="20"/>
              <w:rPr>
                <w:color w:val="auto"/>
              </w:rPr>
            </w:pPr>
            <w:r w:rsidRPr="00B01DB8">
              <w:rPr>
                <w:color w:val="auto"/>
              </w:rPr>
              <w:t>Contact: Centrul Regional de Studii Nord-Est</w:t>
            </w:r>
          </w:p>
          <w:p w14:paraId="2EC4ECF9" w14:textId="77777777" w:rsidR="007222D4" w:rsidRPr="00B01DB8" w:rsidRDefault="006636A4">
            <w:pPr>
              <w:rPr>
                <w:color w:val="auto"/>
              </w:rPr>
            </w:pPr>
            <w:r w:rsidRPr="00B01DB8">
              <w:rPr>
                <w:color w:val="auto"/>
              </w:rPr>
              <w:t>Adresa: Agenția pentru Dezvoltare Regională Nord-Est</w:t>
            </w:r>
          </w:p>
          <w:p w14:paraId="53C3D8A9" w14:textId="77777777" w:rsidR="007222D4" w:rsidRPr="00B01DB8" w:rsidRDefault="006636A4">
            <w:pPr>
              <w:rPr>
                <w:color w:val="auto"/>
              </w:rPr>
            </w:pPr>
            <w:r w:rsidRPr="00B01DB8">
              <w:rPr>
                <w:color w:val="auto"/>
              </w:rPr>
              <w:t>Str. Lt. Drăghescu, nr. 9, Piatra Neamț, 610125</w:t>
            </w:r>
          </w:p>
          <w:p w14:paraId="1B5B9AD2" w14:textId="77777777" w:rsidR="007222D4" w:rsidRPr="00B01DB8" w:rsidRDefault="006636A4">
            <w:pPr>
              <w:rPr>
                <w:color w:val="auto"/>
              </w:rPr>
            </w:pPr>
            <w:r w:rsidRPr="00B01DB8">
              <w:rPr>
                <w:color w:val="auto"/>
              </w:rPr>
              <w:t>Tel: 0233211510</w:t>
            </w:r>
          </w:p>
          <w:p w14:paraId="244F3272" w14:textId="77777777" w:rsidR="007222D4" w:rsidRPr="00B01DB8" w:rsidRDefault="006636A4">
            <w:pPr>
              <w:rPr>
                <w:color w:val="auto"/>
              </w:rPr>
            </w:pPr>
            <w:r w:rsidRPr="00B01DB8">
              <w:rPr>
                <w:color w:val="auto"/>
              </w:rPr>
              <w:t>E-mail: formare.crs@adrnordest.ro</w:t>
            </w:r>
          </w:p>
        </w:tc>
      </w:tr>
      <w:tr w:rsidR="00B01DB8" w:rsidRPr="00B01DB8" w14:paraId="131F37FD" w14:textId="77777777" w:rsidTr="00B01DB8">
        <w:tc>
          <w:tcPr>
            <w:tcW w:w="2600" w:type="dxa"/>
            <w:tcMar>
              <w:top w:w="80" w:type="dxa"/>
              <w:left w:w="120" w:type="dxa"/>
              <w:bottom w:w="80" w:type="dxa"/>
              <w:right w:w="120" w:type="dxa"/>
            </w:tcMar>
          </w:tcPr>
          <w:p w14:paraId="2E12C997" w14:textId="77777777" w:rsidR="007222D4" w:rsidRPr="00B01DB8" w:rsidRDefault="006636A4">
            <w:pPr>
              <w:rPr>
                <w:color w:val="auto"/>
              </w:rPr>
            </w:pPr>
            <w:r w:rsidRPr="00B01DB8">
              <w:rPr>
                <w:b/>
                <w:bCs/>
                <w:color w:val="auto"/>
              </w:rPr>
              <w:t>REGULILE DE ELIGIBILITATE ȘI PRINCIPIILE DE SELECȚIE</w:t>
            </w:r>
          </w:p>
        </w:tc>
        <w:tc>
          <w:tcPr>
            <w:tcW w:w="8172" w:type="dxa"/>
            <w:tcMar>
              <w:top w:w="80" w:type="dxa"/>
              <w:left w:w="120" w:type="dxa"/>
              <w:bottom w:w="80" w:type="dxa"/>
              <w:right w:w="120" w:type="dxa"/>
            </w:tcMar>
          </w:tcPr>
          <w:p w14:paraId="21CC6865" w14:textId="77777777" w:rsidR="007222D4" w:rsidRPr="00B01DB8" w:rsidRDefault="006636A4">
            <w:pPr>
              <w:spacing w:before="40" w:after="40"/>
              <w:rPr>
                <w:color w:val="auto"/>
              </w:rPr>
            </w:pPr>
            <w:r w:rsidRPr="00B01DB8">
              <w:rPr>
                <w:color w:val="auto"/>
              </w:rPr>
              <w:t>Organizațiile eligibile sunt doar din Regiunea Nord-Est:</w:t>
            </w:r>
          </w:p>
          <w:p w14:paraId="21EE95A3" w14:textId="5A514CB4" w:rsidR="007222D4" w:rsidRPr="00B01DB8" w:rsidRDefault="006636A4" w:rsidP="004A6E02">
            <w:pPr>
              <w:pStyle w:val="ListParagraph"/>
              <w:numPr>
                <w:ilvl w:val="0"/>
                <w:numId w:val="5"/>
              </w:numPr>
              <w:spacing w:before="30" w:after="30"/>
              <w:rPr>
                <w:color w:val="auto"/>
              </w:rPr>
            </w:pPr>
            <w:r w:rsidRPr="00B01DB8">
              <w:rPr>
                <w:color w:val="auto"/>
              </w:rPr>
              <w:t>Beneficiari și potențiali beneficiari publici de finanțare: autorități și instituții publice locale, unitățile administrativ-teritoriale de tip municipiu reședință de județ și municipiu, comune din zona urbană funcțională (ZUF) și zona metropolitană (ZM).</w:t>
            </w:r>
          </w:p>
          <w:p w14:paraId="58EF5B04" w14:textId="77777777" w:rsidR="007222D4" w:rsidRPr="00B01DB8" w:rsidRDefault="006636A4" w:rsidP="004A6E02">
            <w:pPr>
              <w:pStyle w:val="ListParagraph"/>
              <w:numPr>
                <w:ilvl w:val="0"/>
                <w:numId w:val="5"/>
              </w:numPr>
              <w:spacing w:before="30" w:after="30"/>
              <w:rPr>
                <w:color w:val="auto"/>
              </w:rPr>
            </w:pPr>
            <w:r w:rsidRPr="00B01DB8">
              <w:rPr>
                <w:color w:val="auto"/>
              </w:rPr>
              <w:t>Personal angajat al ADR Nord-Est, din cadrul AM PR Nord-Est, inclusiv personal din servicii/direcții suport care desfășoară activități dedicate 100% sau parțial pentru Programul Regional Nord-Est 2021–2027.</w:t>
            </w:r>
          </w:p>
          <w:p w14:paraId="5E359CE4" w14:textId="77777777" w:rsidR="007222D4" w:rsidRPr="00B01DB8" w:rsidRDefault="006636A4">
            <w:pPr>
              <w:spacing w:before="40" w:after="40"/>
              <w:rPr>
                <w:color w:val="auto"/>
              </w:rPr>
            </w:pPr>
            <w:r w:rsidRPr="00B01DB8">
              <w:rPr>
                <w:color w:val="auto"/>
              </w:rPr>
              <w:t>Persoanele nominalizate trebuie să îndeplinească:</w:t>
            </w:r>
          </w:p>
          <w:p w14:paraId="49D0B0AB" w14:textId="77777777" w:rsidR="007222D4" w:rsidRPr="00B01DB8" w:rsidRDefault="006636A4" w:rsidP="004A6E02">
            <w:pPr>
              <w:pStyle w:val="ListParagraph"/>
              <w:numPr>
                <w:ilvl w:val="0"/>
                <w:numId w:val="6"/>
              </w:numPr>
              <w:spacing w:before="30" w:after="30"/>
              <w:rPr>
                <w:color w:val="auto"/>
              </w:rPr>
            </w:pPr>
            <w:r w:rsidRPr="00B01DB8">
              <w:rPr>
                <w:color w:val="auto"/>
              </w:rPr>
              <w:t>Să facă parte din organizația care îl desemnează</w:t>
            </w:r>
          </w:p>
          <w:p w14:paraId="661661CA" w14:textId="77777777" w:rsidR="007222D4" w:rsidRPr="00B01DB8" w:rsidRDefault="006636A4" w:rsidP="004A6E02">
            <w:pPr>
              <w:pStyle w:val="ListParagraph"/>
              <w:numPr>
                <w:ilvl w:val="0"/>
                <w:numId w:val="6"/>
              </w:numPr>
              <w:spacing w:before="30" w:after="30"/>
              <w:rPr>
                <w:color w:val="auto"/>
              </w:rPr>
            </w:pPr>
            <w:r w:rsidRPr="00B01DB8">
              <w:rPr>
                <w:color w:val="auto"/>
              </w:rPr>
              <w:t>Să cunoască limba engleză la nivel mediu/avansat</w:t>
            </w:r>
          </w:p>
          <w:p w14:paraId="03B28224" w14:textId="77777777" w:rsidR="007222D4" w:rsidRPr="00B01DB8" w:rsidRDefault="006636A4" w:rsidP="004A6E02">
            <w:pPr>
              <w:pStyle w:val="ListParagraph"/>
              <w:numPr>
                <w:ilvl w:val="0"/>
                <w:numId w:val="6"/>
              </w:numPr>
              <w:spacing w:before="30" w:after="30"/>
              <w:rPr>
                <w:color w:val="auto"/>
              </w:rPr>
            </w:pPr>
            <w:r w:rsidRPr="00B01DB8">
              <w:rPr>
                <w:color w:val="auto"/>
              </w:rPr>
              <w:t>Cunoștințe în domeniul de instruire al vizitei de studiu: minime</w:t>
            </w:r>
          </w:p>
          <w:p w14:paraId="723746F0" w14:textId="77777777" w:rsidR="007222D4" w:rsidRPr="00B01DB8" w:rsidRDefault="006636A4" w:rsidP="004A6E02">
            <w:pPr>
              <w:pStyle w:val="ListParagraph"/>
              <w:numPr>
                <w:ilvl w:val="0"/>
                <w:numId w:val="6"/>
              </w:numPr>
              <w:spacing w:before="30" w:after="30"/>
              <w:rPr>
                <w:color w:val="auto"/>
              </w:rPr>
            </w:pPr>
            <w:r w:rsidRPr="00B01DB8">
              <w:rPr>
                <w:color w:val="auto"/>
              </w:rPr>
              <w:t>Derulare activități profesionale în legătură cu tematică</w:t>
            </w:r>
          </w:p>
          <w:p w14:paraId="74871763" w14:textId="77777777" w:rsidR="007222D4" w:rsidRPr="00B01DB8" w:rsidRDefault="006636A4">
            <w:pPr>
              <w:spacing w:before="40" w:after="40"/>
              <w:rPr>
                <w:color w:val="auto"/>
              </w:rPr>
            </w:pPr>
            <w:r w:rsidRPr="00B01DB8">
              <w:rPr>
                <w:color w:val="auto"/>
              </w:rPr>
              <w:t>Selecția participanților se va face pe baza:</w:t>
            </w:r>
          </w:p>
          <w:p w14:paraId="7D9918D0" w14:textId="77777777" w:rsidR="007222D4" w:rsidRPr="00B01DB8" w:rsidRDefault="006636A4" w:rsidP="004A6E02">
            <w:pPr>
              <w:pStyle w:val="ListParagraph"/>
              <w:numPr>
                <w:ilvl w:val="0"/>
                <w:numId w:val="7"/>
              </w:numPr>
              <w:spacing w:before="30" w:after="30"/>
              <w:rPr>
                <w:color w:val="auto"/>
              </w:rPr>
            </w:pPr>
            <w:r w:rsidRPr="00B01DB8">
              <w:rPr>
                <w:color w:val="auto"/>
              </w:rPr>
              <w:t>Ordinea înscrierii (data și ora transmiterii cererii online)</w:t>
            </w:r>
          </w:p>
          <w:p w14:paraId="7559DA79" w14:textId="77777777" w:rsidR="007222D4" w:rsidRPr="00B01DB8" w:rsidRDefault="006636A4" w:rsidP="004A6E02">
            <w:pPr>
              <w:pStyle w:val="ListParagraph"/>
              <w:numPr>
                <w:ilvl w:val="0"/>
                <w:numId w:val="7"/>
              </w:numPr>
              <w:spacing w:before="30" w:after="30"/>
              <w:rPr>
                <w:color w:val="auto"/>
              </w:rPr>
            </w:pPr>
            <w:r w:rsidRPr="00B01DB8">
              <w:rPr>
                <w:color w:val="auto"/>
              </w:rPr>
              <w:t>Încadrarea organizației solicitante în categoria grupului țintă și calitatea de angajat a persoanei propuse</w:t>
            </w:r>
          </w:p>
        </w:tc>
      </w:tr>
      <w:tr w:rsidR="00B01DB8" w:rsidRPr="00B01DB8" w14:paraId="107480A2" w14:textId="77777777" w:rsidTr="00B01DB8">
        <w:tc>
          <w:tcPr>
            <w:tcW w:w="2600" w:type="dxa"/>
            <w:tcMar>
              <w:top w:w="80" w:type="dxa"/>
              <w:left w:w="120" w:type="dxa"/>
              <w:bottom w:w="80" w:type="dxa"/>
              <w:right w:w="120" w:type="dxa"/>
            </w:tcMar>
          </w:tcPr>
          <w:p w14:paraId="2FB3AB45" w14:textId="77777777" w:rsidR="007222D4" w:rsidRPr="00B01DB8" w:rsidRDefault="006636A4">
            <w:pPr>
              <w:rPr>
                <w:color w:val="auto"/>
              </w:rPr>
            </w:pPr>
            <w:r w:rsidRPr="00B01DB8">
              <w:rPr>
                <w:b/>
                <w:bCs/>
                <w:color w:val="auto"/>
              </w:rPr>
              <w:t>PERIOADA DE ÎNSCRIERE</w:t>
            </w:r>
          </w:p>
        </w:tc>
        <w:tc>
          <w:tcPr>
            <w:tcW w:w="8172" w:type="dxa"/>
            <w:tcMar>
              <w:top w:w="80" w:type="dxa"/>
              <w:left w:w="120" w:type="dxa"/>
              <w:bottom w:w="80" w:type="dxa"/>
              <w:right w:w="120" w:type="dxa"/>
            </w:tcMar>
          </w:tcPr>
          <w:p w14:paraId="1ABE3F0D" w14:textId="61107518" w:rsidR="007222D4" w:rsidRPr="00B01DB8" w:rsidRDefault="006636A4">
            <w:pPr>
              <w:spacing w:before="40" w:after="40"/>
              <w:rPr>
                <w:color w:val="auto"/>
              </w:rPr>
            </w:pPr>
            <w:r w:rsidRPr="00B01DB8">
              <w:rPr>
                <w:color w:val="auto"/>
              </w:rPr>
              <w:t xml:space="preserve">Perioada: </w:t>
            </w:r>
            <w:r w:rsidR="00DF4251">
              <w:rPr>
                <w:color w:val="auto"/>
              </w:rPr>
              <w:t>3-9 aprilie</w:t>
            </w:r>
            <w:r w:rsidR="004A6E02" w:rsidRPr="00B01DB8">
              <w:rPr>
                <w:color w:val="auto"/>
              </w:rPr>
              <w:t xml:space="preserve"> 2026</w:t>
            </w:r>
          </w:p>
          <w:p w14:paraId="0F85860E" w14:textId="0AF5285D" w:rsidR="007222D4" w:rsidRPr="00B01DB8" w:rsidRDefault="006636A4">
            <w:pPr>
              <w:spacing w:before="40" w:after="40"/>
              <w:rPr>
                <w:color w:val="auto"/>
              </w:rPr>
            </w:pPr>
            <w:r w:rsidRPr="00B01DB8">
              <w:rPr>
                <w:color w:val="auto"/>
              </w:rPr>
              <w:t xml:space="preserve">Data limită: </w:t>
            </w:r>
            <w:r w:rsidR="00B01DB8" w:rsidRPr="00B01DB8">
              <w:rPr>
                <w:color w:val="auto"/>
              </w:rPr>
              <w:t>0</w:t>
            </w:r>
            <w:r w:rsidR="00DF4251">
              <w:rPr>
                <w:color w:val="auto"/>
              </w:rPr>
              <w:t>9</w:t>
            </w:r>
            <w:r w:rsidR="004A6E02" w:rsidRPr="00B01DB8">
              <w:rPr>
                <w:color w:val="auto"/>
              </w:rPr>
              <w:t xml:space="preserve"> aprilie</w:t>
            </w:r>
            <w:r w:rsidR="00B01DB8" w:rsidRPr="00B01DB8">
              <w:rPr>
                <w:color w:val="auto"/>
              </w:rPr>
              <w:t xml:space="preserve"> 2026</w:t>
            </w:r>
          </w:p>
        </w:tc>
      </w:tr>
      <w:tr w:rsidR="00B01DB8" w:rsidRPr="00B01DB8" w14:paraId="1FA07327" w14:textId="77777777" w:rsidTr="00B01DB8">
        <w:tc>
          <w:tcPr>
            <w:tcW w:w="2600" w:type="dxa"/>
            <w:tcMar>
              <w:top w:w="80" w:type="dxa"/>
              <w:left w:w="120" w:type="dxa"/>
              <w:bottom w:w="80" w:type="dxa"/>
              <w:right w:w="120" w:type="dxa"/>
            </w:tcMar>
          </w:tcPr>
          <w:p w14:paraId="60778D82" w14:textId="77777777" w:rsidR="007222D4" w:rsidRPr="00B01DB8" w:rsidRDefault="006636A4">
            <w:pPr>
              <w:rPr>
                <w:color w:val="auto"/>
              </w:rPr>
            </w:pPr>
            <w:r w:rsidRPr="00B01DB8">
              <w:rPr>
                <w:b/>
                <w:bCs/>
                <w:color w:val="auto"/>
              </w:rPr>
              <w:t>TAXA CURS</w:t>
            </w:r>
          </w:p>
        </w:tc>
        <w:tc>
          <w:tcPr>
            <w:tcW w:w="8172" w:type="dxa"/>
            <w:tcMar>
              <w:top w:w="80" w:type="dxa"/>
              <w:left w:w="120" w:type="dxa"/>
              <w:bottom w:w="80" w:type="dxa"/>
              <w:right w:w="120" w:type="dxa"/>
            </w:tcMar>
          </w:tcPr>
          <w:p w14:paraId="4212FB12" w14:textId="77777777" w:rsidR="00B01DB8" w:rsidRPr="00B01DB8" w:rsidRDefault="00B01DB8">
            <w:pPr>
              <w:spacing w:before="20"/>
              <w:rPr>
                <w:b/>
                <w:bCs/>
                <w:color w:val="auto"/>
              </w:rPr>
            </w:pPr>
            <w:r w:rsidRPr="00B01DB8">
              <w:rPr>
                <w:b/>
                <w:bCs/>
                <w:color w:val="auto"/>
              </w:rPr>
              <w:t xml:space="preserve">1,550.00 € / participant </w:t>
            </w:r>
          </w:p>
          <w:p w14:paraId="780980D5" w14:textId="20D26254" w:rsidR="007222D4" w:rsidRPr="00B01DB8" w:rsidRDefault="006636A4">
            <w:pPr>
              <w:spacing w:before="20"/>
              <w:rPr>
                <w:color w:val="auto"/>
              </w:rPr>
            </w:pPr>
            <w:r w:rsidRPr="00B01DB8">
              <w:rPr>
                <w:i/>
                <w:iCs/>
                <w:color w:val="auto"/>
                <w:sz w:val="18"/>
                <w:szCs w:val="18"/>
              </w:rPr>
              <w:t>Cheltuielile de deplasare și participare vor fi decontate de către ADR Nord-Est conform acordului de parteneriat. Biletele de avion vor fi achiziționate de către ADR Nord-Est.</w:t>
            </w:r>
          </w:p>
        </w:tc>
      </w:tr>
      <w:tr w:rsidR="00B01DB8" w:rsidRPr="00B01DB8" w14:paraId="5DBED43A" w14:textId="77777777" w:rsidTr="00B01DB8">
        <w:tc>
          <w:tcPr>
            <w:tcW w:w="2600" w:type="dxa"/>
            <w:tcMar>
              <w:top w:w="80" w:type="dxa"/>
              <w:left w:w="120" w:type="dxa"/>
              <w:bottom w:w="80" w:type="dxa"/>
              <w:right w:w="120" w:type="dxa"/>
            </w:tcMar>
          </w:tcPr>
          <w:p w14:paraId="696E57BD" w14:textId="77777777" w:rsidR="007222D4" w:rsidRPr="00B01DB8" w:rsidRDefault="006636A4">
            <w:pPr>
              <w:rPr>
                <w:color w:val="auto"/>
              </w:rPr>
            </w:pPr>
            <w:r w:rsidRPr="00B01DB8">
              <w:rPr>
                <w:b/>
                <w:bCs/>
                <w:color w:val="auto"/>
              </w:rPr>
              <w:t>PROCEDURA DE ÎNSCRIERE</w:t>
            </w:r>
          </w:p>
        </w:tc>
        <w:tc>
          <w:tcPr>
            <w:tcW w:w="8172" w:type="dxa"/>
            <w:tcMar>
              <w:top w:w="80" w:type="dxa"/>
              <w:left w:w="120" w:type="dxa"/>
              <w:bottom w:w="80" w:type="dxa"/>
              <w:right w:w="120" w:type="dxa"/>
            </w:tcMar>
          </w:tcPr>
          <w:p w14:paraId="4928CCD2" w14:textId="77777777" w:rsidR="007222D4" w:rsidRPr="00B01DB8" w:rsidRDefault="006636A4">
            <w:pPr>
              <w:spacing w:before="40" w:after="40"/>
              <w:rPr>
                <w:color w:val="auto"/>
              </w:rPr>
            </w:pPr>
            <w:r w:rsidRPr="00B01DB8">
              <w:rPr>
                <w:color w:val="auto"/>
              </w:rPr>
              <w:t>Pentru înscriere, organizațiile eligibile vor completa o cerere de înscriere (formular online — link va fi comunicat).</w:t>
            </w:r>
          </w:p>
          <w:p w14:paraId="3D4661FD" w14:textId="77777777" w:rsidR="007222D4" w:rsidRPr="00B01DB8" w:rsidRDefault="007222D4">
            <w:pPr>
              <w:spacing w:before="30"/>
              <w:rPr>
                <w:color w:val="auto"/>
              </w:rPr>
            </w:pPr>
          </w:p>
          <w:p w14:paraId="502A0E9C" w14:textId="77777777" w:rsidR="007222D4" w:rsidRPr="00B01DB8" w:rsidRDefault="006636A4">
            <w:pPr>
              <w:spacing w:before="40" w:after="40"/>
              <w:rPr>
                <w:color w:val="auto"/>
              </w:rPr>
            </w:pPr>
            <w:r w:rsidRPr="00B01DB8">
              <w:rPr>
                <w:color w:val="auto"/>
              </w:rPr>
              <w:t>După primirea cererii de înscriere, organizațiile solicitante vor primi un email de confirmare și validare/invalidare în baza verificării de către ADR Nord-Est a informațiilor transmise.</w:t>
            </w:r>
          </w:p>
          <w:p w14:paraId="787F5F7E" w14:textId="77777777" w:rsidR="007222D4" w:rsidRPr="00B01DB8" w:rsidRDefault="007222D4">
            <w:pPr>
              <w:spacing w:before="30"/>
              <w:rPr>
                <w:color w:val="auto"/>
              </w:rPr>
            </w:pPr>
          </w:p>
          <w:p w14:paraId="497F6965" w14:textId="77777777" w:rsidR="007222D4" w:rsidRPr="00B01DB8" w:rsidRDefault="006636A4">
            <w:pPr>
              <w:spacing w:before="40" w:after="40"/>
              <w:rPr>
                <w:color w:val="auto"/>
              </w:rPr>
            </w:pPr>
            <w:r w:rsidRPr="00B01DB8">
              <w:rPr>
                <w:color w:val="auto"/>
              </w:rPr>
              <w:t>Toate cererile validate vor fi procesate în funcție de ordinea primirii. După elaborarea listei participanților admiși și a listei de rezervă, ADR Nord-Est va informa organizațiile si va anunța persoanele selectate.</w:t>
            </w:r>
          </w:p>
          <w:p w14:paraId="37FB3503" w14:textId="77777777" w:rsidR="007222D4" w:rsidRPr="00B01DB8" w:rsidRDefault="007222D4">
            <w:pPr>
              <w:spacing w:before="30"/>
              <w:rPr>
                <w:color w:val="auto"/>
              </w:rPr>
            </w:pPr>
          </w:p>
          <w:p w14:paraId="3B2D8E74" w14:textId="77777777" w:rsidR="007222D4" w:rsidRPr="00B01DB8" w:rsidRDefault="006636A4">
            <w:pPr>
              <w:spacing w:before="40" w:after="40"/>
              <w:rPr>
                <w:color w:val="auto"/>
              </w:rPr>
            </w:pPr>
            <w:r w:rsidRPr="00B01DB8">
              <w:rPr>
                <w:color w:val="auto"/>
              </w:rPr>
              <w:t>Ulterior, ADR Nord-Est va încheie cu fiecare organizație participantă un acord de parteneriat care cuprinde obligațiile părților, precum și detalii privind decontarea cheltuielilor.</w:t>
            </w:r>
          </w:p>
        </w:tc>
      </w:tr>
      <w:tr w:rsidR="00B01DB8" w:rsidRPr="00B01DB8" w14:paraId="2714EF9C" w14:textId="77777777" w:rsidTr="00B01DB8">
        <w:tc>
          <w:tcPr>
            <w:tcW w:w="2600" w:type="dxa"/>
            <w:tcMar>
              <w:top w:w="80" w:type="dxa"/>
              <w:left w:w="120" w:type="dxa"/>
              <w:bottom w:w="80" w:type="dxa"/>
              <w:right w:w="120" w:type="dxa"/>
            </w:tcMar>
          </w:tcPr>
          <w:p w14:paraId="7CE097F9" w14:textId="77777777" w:rsidR="007222D4" w:rsidRPr="00B01DB8" w:rsidRDefault="006636A4">
            <w:pPr>
              <w:rPr>
                <w:color w:val="auto"/>
              </w:rPr>
            </w:pPr>
            <w:r w:rsidRPr="00B01DB8">
              <w:rPr>
                <w:b/>
                <w:bCs/>
                <w:color w:val="auto"/>
              </w:rPr>
              <w:t>COSTURI</w:t>
            </w:r>
          </w:p>
        </w:tc>
        <w:tc>
          <w:tcPr>
            <w:tcW w:w="8172" w:type="dxa"/>
            <w:tcMar>
              <w:top w:w="80" w:type="dxa"/>
              <w:left w:w="120" w:type="dxa"/>
              <w:bottom w:w="80" w:type="dxa"/>
              <w:right w:w="120" w:type="dxa"/>
            </w:tcMar>
          </w:tcPr>
          <w:p w14:paraId="4F3322AB" w14:textId="77777777" w:rsidR="007222D4" w:rsidRPr="00B01DB8" w:rsidRDefault="006636A4">
            <w:pPr>
              <w:rPr>
                <w:color w:val="auto"/>
              </w:rPr>
            </w:pPr>
            <w:r w:rsidRPr="00B01DB8">
              <w:rPr>
                <w:b/>
                <w:bCs/>
                <w:color w:val="auto"/>
              </w:rPr>
              <w:t>Cheltuielile de deplasare și de participare la curs/activitate de instruire angajate și plătite de către organizația participantă vor fi decontate organizațiilor participante, la finalizarea activității de instruire, de către Agenția pentru Dezvoltare Regională Nord-Est din Programul Regional 2021–2027 (conform instrucțiunilor din acordul de parteneriat). Biletele de avion vor fi achiziționate de către ADR Nord-Est.</w:t>
            </w:r>
          </w:p>
          <w:p w14:paraId="77C5D3A8" w14:textId="77777777" w:rsidR="007222D4" w:rsidRPr="00B01DB8" w:rsidRDefault="007222D4">
            <w:pPr>
              <w:spacing w:before="20"/>
              <w:rPr>
                <w:color w:val="auto"/>
              </w:rPr>
            </w:pPr>
          </w:p>
          <w:p w14:paraId="7B55D68E" w14:textId="77777777" w:rsidR="007222D4" w:rsidRPr="00B01DB8" w:rsidRDefault="006636A4">
            <w:pPr>
              <w:spacing w:before="40" w:after="40"/>
              <w:rPr>
                <w:color w:val="auto"/>
              </w:rPr>
            </w:pPr>
            <w:r w:rsidRPr="00B01DB8">
              <w:rPr>
                <w:color w:val="auto"/>
              </w:rPr>
              <w:t>Pentru mai multe detalii, consultați modelul de acord de parteneriat.</w:t>
            </w:r>
          </w:p>
        </w:tc>
      </w:tr>
    </w:tbl>
    <w:p w14:paraId="69390E68" w14:textId="77777777" w:rsidR="007222D4" w:rsidRDefault="007222D4">
      <w:pPr>
        <w:spacing w:before="80"/>
      </w:pPr>
    </w:p>
    <w:sectPr w:rsidR="007222D4">
      <w:pgSz w:w="11906" w:h="16838"/>
      <w:pgMar w:top="850" w:right="567" w:bottom="850" w:left="56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18A9"/>
    <w:multiLevelType w:val="hybridMultilevel"/>
    <w:tmpl w:val="8F3219DE"/>
    <w:lvl w:ilvl="0" w:tplc="DD6C1712">
      <w:start w:val="1"/>
      <w:numFmt w:val="bullet"/>
      <w:lvlText w:val="◦"/>
      <w:lvlJc w:val="left"/>
      <w:pPr>
        <w:ind w:left="720" w:hanging="240"/>
      </w:pPr>
    </w:lvl>
    <w:lvl w:ilvl="1" w:tplc="7660A918">
      <w:numFmt w:val="decimal"/>
      <w:lvlText w:val=""/>
      <w:lvlJc w:val="left"/>
    </w:lvl>
    <w:lvl w:ilvl="2" w:tplc="76B431CE">
      <w:numFmt w:val="decimal"/>
      <w:lvlText w:val=""/>
      <w:lvlJc w:val="left"/>
    </w:lvl>
    <w:lvl w:ilvl="3" w:tplc="F8F42ED2">
      <w:numFmt w:val="decimal"/>
      <w:lvlText w:val=""/>
      <w:lvlJc w:val="left"/>
    </w:lvl>
    <w:lvl w:ilvl="4" w:tplc="8CFC3EFE">
      <w:numFmt w:val="decimal"/>
      <w:lvlText w:val=""/>
      <w:lvlJc w:val="left"/>
    </w:lvl>
    <w:lvl w:ilvl="5" w:tplc="16E6BE1A">
      <w:numFmt w:val="decimal"/>
      <w:lvlText w:val=""/>
      <w:lvlJc w:val="left"/>
    </w:lvl>
    <w:lvl w:ilvl="6" w:tplc="A2505B20">
      <w:numFmt w:val="decimal"/>
      <w:lvlText w:val=""/>
      <w:lvlJc w:val="left"/>
    </w:lvl>
    <w:lvl w:ilvl="7" w:tplc="37681FE8">
      <w:numFmt w:val="decimal"/>
      <w:lvlText w:val=""/>
      <w:lvlJc w:val="left"/>
    </w:lvl>
    <w:lvl w:ilvl="8" w:tplc="60785D06">
      <w:numFmt w:val="decimal"/>
      <w:lvlText w:val=""/>
      <w:lvlJc w:val="left"/>
    </w:lvl>
  </w:abstractNum>
  <w:abstractNum w:abstractNumId="1" w15:restartNumberingAfterBreak="0">
    <w:nsid w:val="30C366B0"/>
    <w:multiLevelType w:val="hybridMultilevel"/>
    <w:tmpl w:val="2B4671CA"/>
    <w:lvl w:ilvl="0" w:tplc="0409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400537F7"/>
    <w:multiLevelType w:val="hybridMultilevel"/>
    <w:tmpl w:val="9752C88E"/>
    <w:lvl w:ilvl="0" w:tplc="9B92AC50">
      <w:start w:val="1"/>
      <w:numFmt w:val="bullet"/>
      <w:lvlText w:val="•"/>
      <w:lvlJc w:val="left"/>
      <w:pPr>
        <w:ind w:left="480" w:hanging="240"/>
      </w:pPr>
    </w:lvl>
    <w:lvl w:ilvl="1" w:tplc="F196C234">
      <w:numFmt w:val="decimal"/>
      <w:lvlText w:val=""/>
      <w:lvlJc w:val="left"/>
    </w:lvl>
    <w:lvl w:ilvl="2" w:tplc="E1FADD22">
      <w:numFmt w:val="decimal"/>
      <w:lvlText w:val=""/>
      <w:lvlJc w:val="left"/>
    </w:lvl>
    <w:lvl w:ilvl="3" w:tplc="19EE32EA">
      <w:numFmt w:val="decimal"/>
      <w:lvlText w:val=""/>
      <w:lvlJc w:val="left"/>
    </w:lvl>
    <w:lvl w:ilvl="4" w:tplc="B504D14C">
      <w:numFmt w:val="decimal"/>
      <w:lvlText w:val=""/>
      <w:lvlJc w:val="left"/>
    </w:lvl>
    <w:lvl w:ilvl="5" w:tplc="F46A3530">
      <w:numFmt w:val="decimal"/>
      <w:lvlText w:val=""/>
      <w:lvlJc w:val="left"/>
    </w:lvl>
    <w:lvl w:ilvl="6" w:tplc="E9AC1F1C">
      <w:numFmt w:val="decimal"/>
      <w:lvlText w:val=""/>
      <w:lvlJc w:val="left"/>
    </w:lvl>
    <w:lvl w:ilvl="7" w:tplc="B80411CE">
      <w:numFmt w:val="decimal"/>
      <w:lvlText w:val=""/>
      <w:lvlJc w:val="left"/>
    </w:lvl>
    <w:lvl w:ilvl="8" w:tplc="71D45E5C">
      <w:numFmt w:val="decimal"/>
      <w:lvlText w:val=""/>
      <w:lvlJc w:val="left"/>
    </w:lvl>
  </w:abstractNum>
  <w:abstractNum w:abstractNumId="3" w15:restartNumberingAfterBreak="0">
    <w:nsid w:val="5ACC0C63"/>
    <w:multiLevelType w:val="hybridMultilevel"/>
    <w:tmpl w:val="CAC695EC"/>
    <w:lvl w:ilvl="0" w:tplc="2AA8EE5A">
      <w:start w:val="1"/>
      <w:numFmt w:val="decimal"/>
      <w:lvlText w:val="%1."/>
      <w:lvlJc w:val="left"/>
      <w:pPr>
        <w:ind w:left="480" w:hanging="240"/>
      </w:pPr>
    </w:lvl>
    <w:lvl w:ilvl="1" w:tplc="872E792A">
      <w:numFmt w:val="decimal"/>
      <w:lvlText w:val=""/>
      <w:lvlJc w:val="left"/>
    </w:lvl>
    <w:lvl w:ilvl="2" w:tplc="AF06F7B4">
      <w:numFmt w:val="decimal"/>
      <w:lvlText w:val=""/>
      <w:lvlJc w:val="left"/>
    </w:lvl>
    <w:lvl w:ilvl="3" w:tplc="47ACF104">
      <w:numFmt w:val="decimal"/>
      <w:lvlText w:val=""/>
      <w:lvlJc w:val="left"/>
    </w:lvl>
    <w:lvl w:ilvl="4" w:tplc="C4E86CB0">
      <w:numFmt w:val="decimal"/>
      <w:lvlText w:val=""/>
      <w:lvlJc w:val="left"/>
    </w:lvl>
    <w:lvl w:ilvl="5" w:tplc="2F6EFAB4">
      <w:numFmt w:val="decimal"/>
      <w:lvlText w:val=""/>
      <w:lvlJc w:val="left"/>
    </w:lvl>
    <w:lvl w:ilvl="6" w:tplc="734483B0">
      <w:numFmt w:val="decimal"/>
      <w:lvlText w:val=""/>
      <w:lvlJc w:val="left"/>
    </w:lvl>
    <w:lvl w:ilvl="7" w:tplc="975E68CC">
      <w:numFmt w:val="decimal"/>
      <w:lvlText w:val=""/>
      <w:lvlJc w:val="left"/>
    </w:lvl>
    <w:lvl w:ilvl="8" w:tplc="B40A6316">
      <w:numFmt w:val="decimal"/>
      <w:lvlText w:val=""/>
      <w:lvlJc w:val="left"/>
    </w:lvl>
  </w:abstractNum>
  <w:abstractNum w:abstractNumId="4" w15:restartNumberingAfterBreak="0">
    <w:nsid w:val="5FE05055"/>
    <w:multiLevelType w:val="hybridMultilevel"/>
    <w:tmpl w:val="EE56F078"/>
    <w:lvl w:ilvl="0" w:tplc="093230D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77F7173A"/>
    <w:multiLevelType w:val="hybridMultilevel"/>
    <w:tmpl w:val="ECA86898"/>
    <w:lvl w:ilvl="0" w:tplc="0409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6" w15:restartNumberingAfterBreak="0">
    <w:nsid w:val="79092A4A"/>
    <w:multiLevelType w:val="hybridMultilevel"/>
    <w:tmpl w:val="2A48849C"/>
    <w:lvl w:ilvl="0" w:tplc="F8C68AA4">
      <w:start w:val="1"/>
      <w:numFmt w:val="bullet"/>
      <w:lvlText w:val="●"/>
      <w:lvlJc w:val="left"/>
      <w:pPr>
        <w:ind w:left="720" w:hanging="360"/>
      </w:pPr>
    </w:lvl>
    <w:lvl w:ilvl="1" w:tplc="3FBC8C40">
      <w:start w:val="1"/>
      <w:numFmt w:val="bullet"/>
      <w:lvlText w:val="○"/>
      <w:lvlJc w:val="left"/>
      <w:pPr>
        <w:ind w:left="1440" w:hanging="360"/>
      </w:pPr>
    </w:lvl>
    <w:lvl w:ilvl="2" w:tplc="1F22E0FC">
      <w:start w:val="1"/>
      <w:numFmt w:val="bullet"/>
      <w:lvlText w:val="■"/>
      <w:lvlJc w:val="left"/>
      <w:pPr>
        <w:ind w:left="2160" w:hanging="360"/>
      </w:pPr>
    </w:lvl>
    <w:lvl w:ilvl="3" w:tplc="A3EE726E">
      <w:start w:val="1"/>
      <w:numFmt w:val="bullet"/>
      <w:lvlText w:val="●"/>
      <w:lvlJc w:val="left"/>
      <w:pPr>
        <w:ind w:left="2880" w:hanging="360"/>
      </w:pPr>
    </w:lvl>
    <w:lvl w:ilvl="4" w:tplc="59DCB682">
      <w:start w:val="1"/>
      <w:numFmt w:val="bullet"/>
      <w:lvlText w:val="○"/>
      <w:lvlJc w:val="left"/>
      <w:pPr>
        <w:ind w:left="3600" w:hanging="360"/>
      </w:pPr>
    </w:lvl>
    <w:lvl w:ilvl="5" w:tplc="18B8C632">
      <w:start w:val="1"/>
      <w:numFmt w:val="bullet"/>
      <w:lvlText w:val="■"/>
      <w:lvlJc w:val="left"/>
      <w:pPr>
        <w:ind w:left="4320" w:hanging="360"/>
      </w:pPr>
    </w:lvl>
    <w:lvl w:ilvl="6" w:tplc="E99A7806">
      <w:start w:val="1"/>
      <w:numFmt w:val="bullet"/>
      <w:lvlText w:val="●"/>
      <w:lvlJc w:val="left"/>
      <w:pPr>
        <w:ind w:left="5040" w:hanging="360"/>
      </w:pPr>
    </w:lvl>
    <w:lvl w:ilvl="7" w:tplc="0826FDFA">
      <w:start w:val="1"/>
      <w:numFmt w:val="bullet"/>
      <w:lvlText w:val="●"/>
      <w:lvlJc w:val="left"/>
      <w:pPr>
        <w:ind w:left="5760" w:hanging="360"/>
      </w:pPr>
    </w:lvl>
    <w:lvl w:ilvl="8" w:tplc="F718DEC6">
      <w:start w:val="1"/>
      <w:numFmt w:val="bullet"/>
      <w:lvlText w:val="●"/>
      <w:lvlJc w:val="left"/>
      <w:pPr>
        <w:ind w:left="6480" w:hanging="360"/>
      </w:pPr>
    </w:lvl>
  </w:abstractNum>
  <w:num w:numId="1" w16cid:durableId="1716655969">
    <w:abstractNumId w:val="6"/>
    <w:lvlOverride w:ilvl="0">
      <w:startOverride w:val="1"/>
    </w:lvlOverride>
  </w:num>
  <w:num w:numId="2" w16cid:durableId="1611081102">
    <w:abstractNumId w:val="2"/>
    <w:lvlOverride w:ilvl="0">
      <w:startOverride w:val="1"/>
    </w:lvlOverride>
  </w:num>
  <w:num w:numId="3" w16cid:durableId="1245187591">
    <w:abstractNumId w:val="3"/>
    <w:lvlOverride w:ilvl="0">
      <w:startOverride w:val="1"/>
    </w:lvlOverride>
  </w:num>
  <w:num w:numId="4" w16cid:durableId="620914164">
    <w:abstractNumId w:val="0"/>
    <w:lvlOverride w:ilvl="0">
      <w:startOverride w:val="1"/>
    </w:lvlOverride>
  </w:num>
  <w:num w:numId="5" w16cid:durableId="2097818092">
    <w:abstractNumId w:val="4"/>
  </w:num>
  <w:num w:numId="6" w16cid:durableId="1088113562">
    <w:abstractNumId w:val="1"/>
  </w:num>
  <w:num w:numId="7" w16cid:durableId="1061683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D4"/>
    <w:rsid w:val="004A6E02"/>
    <w:rsid w:val="00505786"/>
    <w:rsid w:val="005C535D"/>
    <w:rsid w:val="006636A4"/>
    <w:rsid w:val="007222D4"/>
    <w:rsid w:val="00741B7F"/>
    <w:rsid w:val="00B01DB8"/>
    <w:rsid w:val="00D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CE2A"/>
  <w15:docId w15:val="{3E92DB57-7EF7-41C2-8D05-989DB906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040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Mihai Parfeni</cp:lastModifiedBy>
  <cp:revision>3</cp:revision>
  <dcterms:created xsi:type="dcterms:W3CDTF">2026-03-25T10:41:00Z</dcterms:created>
  <dcterms:modified xsi:type="dcterms:W3CDTF">2026-04-03T05:35:00Z</dcterms:modified>
</cp:coreProperties>
</file>