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2492705E"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93137A">
        <w:rPr>
          <w:rFonts w:ascii="Arial" w:hAnsi="Arial" w:cs="Arial"/>
          <w:lang w:eastAsia="ro-RO"/>
        </w:rPr>
        <w:t xml:space="preserve">Vizita de Studiu </w:t>
      </w:r>
      <w:r w:rsidR="0093137A" w:rsidRPr="0093137A">
        <w:rPr>
          <w:rFonts w:ascii="Arial" w:hAnsi="Arial" w:cs="Arial"/>
          <w:lang w:eastAsia="ro-RO"/>
        </w:rPr>
        <w:t>Program de Digitalizare pentru institutii publice</w:t>
      </w:r>
      <w:r w:rsidR="00C45955" w:rsidRPr="00C45955">
        <w:rPr>
          <w:rFonts w:ascii="Arial" w:hAnsi="Arial" w:cs="Arial"/>
          <w:lang w:eastAsia="ro-RO"/>
        </w:rPr>
        <w:t>, organizat</w:t>
      </w:r>
      <w:r w:rsidR="0093137A">
        <w:rPr>
          <w:rFonts w:ascii="Arial" w:hAnsi="Arial" w:cs="Arial"/>
          <w:lang w:eastAsia="ro-RO"/>
        </w:rPr>
        <w:t>a</w:t>
      </w:r>
      <w:r w:rsidR="00C45955" w:rsidRPr="00C45955">
        <w:rPr>
          <w:rFonts w:ascii="Arial" w:hAnsi="Arial" w:cs="Arial"/>
          <w:lang w:eastAsia="ro-RO"/>
        </w:rPr>
        <w:t xml:space="preserve"> de </w:t>
      </w:r>
      <w:r w:rsidR="0093137A" w:rsidRPr="0093137A">
        <w:rPr>
          <w:rFonts w:ascii="Arial" w:hAnsi="Arial" w:cs="Arial"/>
          <w:lang w:eastAsia="ro-RO"/>
        </w:rPr>
        <w:t>EBS Business School</w:t>
      </w:r>
      <w:r w:rsidR="00C45955" w:rsidRPr="00C45955">
        <w:rPr>
          <w:rFonts w:ascii="Arial" w:hAnsi="Arial" w:cs="Arial"/>
          <w:lang w:eastAsia="ro-RO"/>
        </w:rPr>
        <w:t xml:space="preserve"> care va avea loc în </w:t>
      </w:r>
      <w:r w:rsidR="0093137A" w:rsidRPr="0093137A">
        <w:rPr>
          <w:rFonts w:ascii="Arial" w:hAnsi="Arial" w:cs="Arial"/>
          <w:lang w:eastAsia="ro-RO"/>
        </w:rPr>
        <w:t>Cáceres, Badajoz, Merida si Sevilia (Spania)</w:t>
      </w:r>
      <w:r w:rsidR="00C45955" w:rsidRPr="00C45955">
        <w:rPr>
          <w:rFonts w:ascii="Arial" w:hAnsi="Arial" w:cs="Arial"/>
          <w:lang w:eastAsia="ro-RO"/>
        </w:rPr>
        <w:t xml:space="preserve">, în </w:t>
      </w:r>
      <w:r w:rsidR="00C53987">
        <w:rPr>
          <w:rFonts w:ascii="Arial" w:hAnsi="Arial" w:cs="Arial"/>
          <w:lang w:eastAsia="ro-RO"/>
        </w:rPr>
        <w:t>perioada 11-15 mai 2026</w:t>
      </w:r>
      <w:r w:rsidR="001D5930" w:rsidRPr="001D5930">
        <w:rPr>
          <w:rFonts w:ascii="Arial" w:hAnsi="Arial" w:cs="Arial"/>
          <w:lang w:eastAsia="ro-RO"/>
        </w:rPr>
        <w:t xml:space="preserve"> </w:t>
      </w:r>
      <w:r w:rsidR="0093137A" w:rsidRPr="0093137A">
        <w:rPr>
          <w:rFonts w:ascii="Arial" w:hAnsi="Arial" w:cs="Arial"/>
          <w:lang w:eastAsia="ro-RO"/>
        </w:rPr>
        <w:t xml:space="preserve"> (5 zile)</w:t>
      </w:r>
      <w:r w:rsidRPr="005D3C0C">
        <w:rPr>
          <w:rFonts w:ascii="Arial" w:hAnsi="Arial" w:cs="Arial"/>
          <w:lang w:eastAsia="ro-RO"/>
        </w:rPr>
        <w:t>, urmă</w:t>
      </w:r>
      <w:r w:rsidR="00BC2DB0" w:rsidRPr="005D3C0C">
        <w:rPr>
          <w:rFonts w:ascii="Arial" w:hAnsi="Arial" w:cs="Arial"/>
          <w:lang w:eastAsia="ro-RO"/>
        </w:rPr>
        <w:t>toare</w:t>
      </w:r>
      <w:r w:rsidR="005E7D2A">
        <w:rPr>
          <w:rFonts w:ascii="Arial" w:hAnsi="Arial" w:cs="Arial"/>
          <w:lang w:eastAsia="ro-RO"/>
        </w:rPr>
        <w:t>le</w:t>
      </w:r>
      <w:r w:rsidR="00BC2DB0" w:rsidRPr="005D3C0C">
        <w:rPr>
          <w:rFonts w:ascii="Arial" w:hAnsi="Arial" w:cs="Arial"/>
          <w:lang w:eastAsia="ro-RO"/>
        </w:rPr>
        <w:t xml:space="preserve"> persoan</w:t>
      </w:r>
      <w:r w:rsidR="005E7D2A">
        <w:rPr>
          <w:rFonts w:ascii="Arial" w:hAnsi="Arial" w:cs="Arial"/>
          <w:lang w:eastAsia="ro-RO"/>
        </w:rPr>
        <w:t>e</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0B9A6113" w14:textId="77777777" w:rsidR="005E7D2A" w:rsidRDefault="005E7D2A"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2DAE8110" w14:textId="77777777" w:rsidR="005E7D2A" w:rsidRDefault="005E7D2A" w:rsidP="00BC2DB0">
      <w:pPr>
        <w:pStyle w:val="Default"/>
        <w:tabs>
          <w:tab w:val="left" w:pos="810"/>
        </w:tabs>
        <w:spacing w:after="120" w:line="259" w:lineRule="auto"/>
        <w:jc w:val="both"/>
        <w:rPr>
          <w:rFonts w:ascii="Arial" w:hAnsi="Arial" w:cs="Arial"/>
          <w:b/>
          <w:sz w:val="22"/>
          <w:szCs w:val="22"/>
          <w:lang w:val="ro-RO"/>
        </w:rPr>
      </w:pPr>
    </w:p>
    <w:p w14:paraId="531F37E5" w14:textId="318DF2F5"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 xml:space="preserve">dezvoltare profesională finanțate prin PR Nord-Est </w:t>
            </w:r>
            <w:r w:rsidRPr="005D3C0C">
              <w:rPr>
                <w:rFonts w:ascii="Arial" w:hAnsi="Arial" w:cs="Arial"/>
                <w:sz w:val="22"/>
                <w:szCs w:val="22"/>
                <w:lang w:val="ro-RO"/>
              </w:rPr>
              <w:lastRenderedPageBreak/>
              <w:t>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w:t>
            </w:r>
            <w:r w:rsidRPr="00B63888">
              <w:rPr>
                <w:rFonts w:ascii="Arial" w:hAnsi="Arial" w:cs="Arial"/>
                <w:sz w:val="22"/>
                <w:szCs w:val="22"/>
                <w:lang w:val="ro-RO"/>
              </w:rPr>
              <w:lastRenderedPageBreak/>
              <w:t xml:space="preserve">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7EC917CC"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Organizaţia participantă va plăti în avans taxele de participare la activitățile de instruire direct la furnizorul de formare </w:t>
            </w:r>
            <w:r w:rsidR="0093137A" w:rsidRPr="0093137A">
              <w:rPr>
                <w:rFonts w:ascii="Arial" w:hAnsi="Arial" w:cs="Arial"/>
                <w:sz w:val="22"/>
                <w:szCs w:val="22"/>
                <w:lang w:val="ro-RO"/>
              </w:rPr>
              <w:t>EBS Business School</w:t>
            </w:r>
            <w:r w:rsidRPr="005D3C0C">
              <w:rPr>
                <w:rFonts w:ascii="Arial" w:hAnsi="Arial" w:cs="Arial"/>
                <w:sz w:val="22"/>
                <w:szCs w:val="22"/>
                <w:lang w:val="ro-RO"/>
              </w:rPr>
              <w:t>,</w:t>
            </w:r>
            <w:r w:rsidR="00B56B60">
              <w:rPr>
                <w:rFonts w:ascii="Arial" w:hAnsi="Arial" w:cs="Arial"/>
                <w:sz w:val="22"/>
                <w:szCs w:val="22"/>
                <w:lang w:val="ro-RO"/>
              </w:rPr>
              <w:t xml:space="preserv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1ED699C1"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w:t>
            </w:r>
            <w:r w:rsidR="0093137A">
              <w:rPr>
                <w:rFonts w:ascii="Arial" w:hAnsi="Arial" w:cs="Arial"/>
                <w:sz w:val="22"/>
                <w:szCs w:val="22"/>
                <w:lang w:val="ro-RO"/>
              </w:rPr>
              <w:t>activitatea de instruire</w:t>
            </w:r>
            <w:r w:rsidRPr="005D3C0C">
              <w:rPr>
                <w:rFonts w:ascii="Arial" w:hAnsi="Arial" w:cs="Arial"/>
                <w:sz w:val="22"/>
                <w:szCs w:val="22"/>
                <w:lang w:val="ro-RO"/>
              </w:rPr>
              <w:t xml:space="preserve">  a participanților, plata taxelor de </w:t>
            </w:r>
            <w:r w:rsidR="0093137A">
              <w:rPr>
                <w:rFonts w:ascii="Arial" w:hAnsi="Arial" w:cs="Arial"/>
                <w:sz w:val="22"/>
                <w:szCs w:val="22"/>
                <w:lang w:val="ro-RO"/>
              </w:rPr>
              <w:t>activitatii de instruire</w:t>
            </w:r>
            <w:r w:rsidRPr="005D3C0C">
              <w:rPr>
                <w:rFonts w:ascii="Arial" w:hAnsi="Arial" w:cs="Arial"/>
                <w:sz w:val="22"/>
                <w:szCs w:val="22"/>
                <w:lang w:val="ro-RO"/>
              </w:rPr>
              <w:t>,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29D53ABC"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lastRenderedPageBreak/>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6307385"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PRl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2C5E3E">
              <w:rPr>
                <w:rFonts w:ascii="Arial" w:hAnsi="Arial" w:cs="Arial"/>
                <w:sz w:val="22"/>
                <w:szCs w:val="22"/>
                <w:lang w:val="fr-FR"/>
              </w:rPr>
              <w:t xml:space="preserve">După </w:t>
            </w:r>
            <w:proofErr w:type="spellStart"/>
            <w:r w:rsidRPr="002C5E3E">
              <w:rPr>
                <w:rFonts w:ascii="Arial" w:hAnsi="Arial" w:cs="Arial"/>
                <w:sz w:val="22"/>
                <w:szCs w:val="22"/>
                <w:lang w:val="fr-FR"/>
              </w:rPr>
              <w:t>finalizarea</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activității</w:t>
            </w:r>
            <w:proofErr w:type="spellEnd"/>
            <w:r w:rsidRPr="002C5E3E">
              <w:rPr>
                <w:rFonts w:ascii="Arial" w:hAnsi="Arial" w:cs="Arial"/>
                <w:sz w:val="22"/>
                <w:szCs w:val="22"/>
                <w:lang w:val="fr-FR"/>
              </w:rPr>
              <w:t xml:space="preserve"> de instruire/</w:t>
            </w:r>
            <w:proofErr w:type="spellStart"/>
            <w:r w:rsidRPr="002C5E3E">
              <w:rPr>
                <w:rFonts w:ascii="Arial" w:hAnsi="Arial" w:cs="Arial"/>
                <w:sz w:val="22"/>
                <w:szCs w:val="22"/>
                <w:lang w:val="fr-FR"/>
              </w:rPr>
              <w:t>formare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dezvoltare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profesională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cursanții</w:t>
            </w:r>
            <w:proofErr w:type="spellEnd"/>
            <w:r w:rsidRPr="002C5E3E">
              <w:rPr>
                <w:rFonts w:ascii="Arial" w:hAnsi="Arial" w:cs="Arial"/>
                <w:sz w:val="22"/>
                <w:szCs w:val="22"/>
                <w:lang w:val="fr-FR"/>
              </w:rPr>
              <w:t xml:space="preserve"> vor </w:t>
            </w:r>
            <w:proofErr w:type="spellStart"/>
            <w:r w:rsidRPr="002C5E3E">
              <w:rPr>
                <w:rFonts w:ascii="Arial" w:hAnsi="Arial" w:cs="Arial"/>
                <w:sz w:val="22"/>
                <w:szCs w:val="22"/>
                <w:lang w:val="fr-FR"/>
              </w:rPr>
              <w:t>lua</w:t>
            </w:r>
            <w:proofErr w:type="spellEnd"/>
            <w:r w:rsidRPr="002C5E3E">
              <w:rPr>
                <w:rFonts w:ascii="Arial" w:hAnsi="Arial" w:cs="Arial"/>
                <w:sz w:val="22"/>
                <w:szCs w:val="22"/>
                <w:lang w:val="fr-FR"/>
              </w:rPr>
              <w:t xml:space="preserve"> parte la </w:t>
            </w:r>
            <w:proofErr w:type="spellStart"/>
            <w:r w:rsidRPr="002C5E3E">
              <w:rPr>
                <w:rFonts w:ascii="Arial" w:hAnsi="Arial" w:cs="Arial"/>
                <w:sz w:val="22"/>
                <w:szCs w:val="22"/>
                <w:lang w:val="fr-FR"/>
              </w:rPr>
              <w:t>activitățile</w:t>
            </w:r>
            <w:proofErr w:type="spellEnd"/>
            <w:r w:rsidRPr="002C5E3E">
              <w:rPr>
                <w:rFonts w:ascii="Arial" w:hAnsi="Arial" w:cs="Arial"/>
                <w:sz w:val="22"/>
                <w:szCs w:val="22"/>
                <w:lang w:val="fr-FR"/>
              </w:rPr>
              <w:t xml:space="preserve"> de </w:t>
            </w:r>
            <w:proofErr w:type="spellStart"/>
            <w:r w:rsidRPr="002C5E3E">
              <w:rPr>
                <w:rFonts w:ascii="Arial" w:hAnsi="Arial" w:cs="Arial"/>
                <w:sz w:val="22"/>
                <w:szCs w:val="22"/>
                <w:lang w:val="fr-FR"/>
              </w:rPr>
              <w:t>diseminare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promovare</w:t>
            </w:r>
            <w:proofErr w:type="spellEnd"/>
            <w:r w:rsidRPr="002C5E3E">
              <w:rPr>
                <w:rFonts w:ascii="Arial" w:hAnsi="Arial" w:cs="Arial"/>
                <w:sz w:val="22"/>
                <w:szCs w:val="22"/>
                <w:lang w:val="fr-FR"/>
              </w:rPr>
              <w:t xml:space="preserve"> a </w:t>
            </w:r>
            <w:proofErr w:type="spellStart"/>
            <w:r w:rsidRPr="002C5E3E">
              <w:rPr>
                <w:rFonts w:ascii="Arial" w:hAnsi="Arial" w:cs="Arial"/>
                <w:sz w:val="22"/>
                <w:szCs w:val="22"/>
                <w:lang w:val="fr-FR"/>
              </w:rPr>
              <w:t>activităților</w:t>
            </w:r>
            <w:proofErr w:type="spellEnd"/>
            <w:r w:rsidRPr="002C5E3E">
              <w:rPr>
                <w:rFonts w:ascii="Arial" w:hAnsi="Arial" w:cs="Arial"/>
                <w:sz w:val="22"/>
                <w:szCs w:val="22"/>
                <w:lang w:val="fr-FR"/>
              </w:rPr>
              <w:t xml:space="preserve"> de instruire </w:t>
            </w:r>
            <w:proofErr w:type="spellStart"/>
            <w:r w:rsidRPr="002C5E3E">
              <w:rPr>
                <w:rFonts w:ascii="Arial" w:hAnsi="Arial" w:cs="Arial"/>
                <w:sz w:val="22"/>
                <w:szCs w:val="22"/>
                <w:lang w:val="fr-FR"/>
              </w:rPr>
              <w:t>organizate</w:t>
            </w:r>
            <w:proofErr w:type="spellEnd"/>
            <w:r w:rsidRPr="002C5E3E">
              <w:rPr>
                <w:rFonts w:ascii="Arial" w:hAnsi="Arial" w:cs="Arial"/>
                <w:sz w:val="22"/>
                <w:szCs w:val="22"/>
                <w:lang w:val="fr-FR"/>
              </w:rPr>
              <w:t xml:space="preserv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lastRenderedPageBreak/>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35B7693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93137A">
        <w:rPr>
          <w:rFonts w:ascii="Arial" w:hAnsi="Arial" w:cs="Arial"/>
          <w:lang w:val="ro-RO" w:eastAsia="ro-RO"/>
        </w:rPr>
        <w:t>Ana Maria Paraschiv</w:t>
      </w:r>
      <w:r w:rsidR="005D05AD">
        <w:rPr>
          <w:rFonts w:ascii="Arial" w:hAnsi="Arial" w:cs="Arial"/>
          <w:lang w:val="ro-RO" w:eastAsia="ro-RO"/>
        </w:rPr>
        <w:t xml:space="preserve">, </w:t>
      </w:r>
      <w:r w:rsidR="0093137A">
        <w:rPr>
          <w:rFonts w:ascii="Arial" w:hAnsi="Arial" w:cs="Arial"/>
          <w:lang w:val="ro-RO" w:eastAsia="ro-RO"/>
        </w:rPr>
        <w:t>Sef Birou</w:t>
      </w:r>
      <w:r w:rsidR="005D05AD">
        <w:rPr>
          <w:rFonts w:ascii="Arial" w:hAnsi="Arial" w:cs="Arial"/>
          <w:lang w:val="ro-RO" w:eastAsia="ro-RO"/>
        </w:rPr>
        <w:t xml:space="preserve">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6F4B5298" w14:textId="77777777" w:rsidR="00B03101" w:rsidRDefault="00B03101" w:rsidP="00BC2DB0">
      <w:pPr>
        <w:spacing w:after="120"/>
        <w:jc w:val="both"/>
        <w:rPr>
          <w:rFonts w:ascii="Arial" w:hAnsi="Arial" w:cs="Arial"/>
          <w:b/>
          <w:lang w:eastAsia="ro-RO"/>
        </w:rPr>
      </w:pPr>
    </w:p>
    <w:p w14:paraId="702EA69B" w14:textId="77777777" w:rsidR="00B03101" w:rsidRDefault="00B03101" w:rsidP="00BC2DB0">
      <w:pPr>
        <w:spacing w:after="120"/>
        <w:jc w:val="both"/>
        <w:rPr>
          <w:rFonts w:ascii="Arial" w:hAnsi="Arial" w:cs="Arial"/>
          <w:b/>
          <w:lang w:eastAsia="ro-RO"/>
        </w:rPr>
      </w:pPr>
    </w:p>
    <w:p w14:paraId="343C9C22" w14:textId="77777777" w:rsidR="00B03101" w:rsidRDefault="00B03101" w:rsidP="00BC2DB0">
      <w:pPr>
        <w:spacing w:after="120"/>
        <w:jc w:val="both"/>
        <w:rPr>
          <w:rFonts w:ascii="Arial" w:hAnsi="Arial" w:cs="Arial"/>
          <w:b/>
          <w:lang w:eastAsia="ro-RO"/>
        </w:rPr>
      </w:pPr>
    </w:p>
    <w:p w14:paraId="3E92CEA4" w14:textId="77777777" w:rsidR="00B03101" w:rsidRDefault="00B03101" w:rsidP="00BC2DB0">
      <w:pPr>
        <w:spacing w:after="120"/>
        <w:jc w:val="both"/>
        <w:rPr>
          <w:rFonts w:ascii="Arial" w:hAnsi="Arial" w:cs="Arial"/>
          <w:b/>
          <w:lang w:eastAsia="ro-RO"/>
        </w:rPr>
      </w:pPr>
    </w:p>
    <w:p w14:paraId="3A8819B1" w14:textId="77777777" w:rsidR="00B03101" w:rsidRDefault="00B03101" w:rsidP="00BC2DB0">
      <w:pPr>
        <w:spacing w:after="120"/>
        <w:jc w:val="both"/>
        <w:rPr>
          <w:rFonts w:ascii="Arial" w:hAnsi="Arial" w:cs="Arial"/>
          <w:b/>
          <w:lang w:eastAsia="ro-RO"/>
        </w:rPr>
      </w:pPr>
    </w:p>
    <w:p w14:paraId="658967EA" w14:textId="77777777" w:rsidR="00B03101" w:rsidRDefault="00B03101" w:rsidP="00BC2DB0">
      <w:pPr>
        <w:spacing w:after="120"/>
        <w:jc w:val="both"/>
        <w:rPr>
          <w:rFonts w:ascii="Arial" w:hAnsi="Arial" w:cs="Arial"/>
          <w:b/>
          <w:lang w:eastAsia="ro-RO"/>
        </w:rPr>
      </w:pPr>
    </w:p>
    <w:p w14:paraId="1DA27BF6" w14:textId="77777777" w:rsidR="00B03101" w:rsidRDefault="00B03101" w:rsidP="00BC2DB0">
      <w:pPr>
        <w:spacing w:after="120"/>
        <w:jc w:val="both"/>
        <w:rPr>
          <w:rFonts w:ascii="Arial" w:hAnsi="Arial" w:cs="Arial"/>
          <w:b/>
          <w:lang w:eastAsia="ro-RO"/>
        </w:rPr>
      </w:pPr>
    </w:p>
    <w:p w14:paraId="568E2C07" w14:textId="77777777" w:rsidR="00B03101" w:rsidRDefault="00B03101" w:rsidP="00BC2DB0">
      <w:pPr>
        <w:spacing w:after="120"/>
        <w:jc w:val="both"/>
        <w:rPr>
          <w:rFonts w:ascii="Arial" w:hAnsi="Arial" w:cs="Arial"/>
          <w:b/>
          <w:lang w:eastAsia="ro-RO"/>
        </w:rPr>
      </w:pPr>
    </w:p>
    <w:p w14:paraId="3FE155D8" w14:textId="77777777" w:rsidR="00B03101" w:rsidRDefault="00B0310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p w14:paraId="2480CD65" w14:textId="77777777" w:rsidR="005E7D2A" w:rsidRDefault="005E7D2A" w:rsidP="00BC2DB0">
      <w:pPr>
        <w:tabs>
          <w:tab w:val="left" w:pos="1196"/>
        </w:tabs>
        <w:spacing w:after="120"/>
        <w:jc w:val="both"/>
        <w:rPr>
          <w:rFonts w:ascii="Arial" w:hAnsi="Arial" w:cs="Arial"/>
          <w:lang w:eastAsia="ro-RO"/>
        </w:rPr>
      </w:pPr>
    </w:p>
    <w:p w14:paraId="4C5954AB" w14:textId="77777777" w:rsidR="005E7D2A" w:rsidRPr="005D3C0C" w:rsidRDefault="005E7D2A" w:rsidP="00BC2DB0">
      <w:pPr>
        <w:tabs>
          <w:tab w:val="left" w:pos="1196"/>
        </w:tabs>
        <w:spacing w:after="120"/>
        <w:jc w:val="both"/>
        <w:rPr>
          <w:rFonts w:ascii="Arial" w:hAnsi="Arial" w:cs="Arial"/>
          <w:lang w:eastAsia="ro-RO"/>
        </w:rPr>
      </w:pP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652212FB" w:rsidR="00914C96" w:rsidRPr="005D3C0C" w:rsidRDefault="003F3F57" w:rsidP="00836338">
            <w:pPr>
              <w:pStyle w:val="Title"/>
              <w:spacing w:after="120" w:line="259" w:lineRule="auto"/>
              <w:jc w:val="both"/>
              <w:rPr>
                <w:rFonts w:cs="Arial"/>
                <w:b w:val="0"/>
                <w:iCs/>
                <w:sz w:val="22"/>
                <w:szCs w:val="22"/>
              </w:rPr>
            </w:pPr>
            <w:r>
              <w:rPr>
                <w:rFonts w:cs="Arial"/>
                <w:b w:val="0"/>
                <w:iCs/>
                <w:sz w:val="22"/>
                <w:szCs w:val="22"/>
              </w:rPr>
              <w:t>Serviciul juridic</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BF25" w14:textId="77777777" w:rsidR="002B2D9A" w:rsidRDefault="002B2D9A" w:rsidP="0096037F">
      <w:pPr>
        <w:spacing w:after="0" w:line="240" w:lineRule="auto"/>
      </w:pPr>
      <w:r>
        <w:separator/>
      </w:r>
    </w:p>
  </w:endnote>
  <w:endnote w:type="continuationSeparator" w:id="0">
    <w:p w14:paraId="2D285462" w14:textId="77777777" w:rsidR="002B2D9A" w:rsidRDefault="002B2D9A"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765C" w14:textId="77777777" w:rsidR="002B2D9A" w:rsidRDefault="002B2D9A" w:rsidP="0096037F">
      <w:pPr>
        <w:spacing w:after="0" w:line="240" w:lineRule="auto"/>
      </w:pPr>
      <w:r>
        <w:separator/>
      </w:r>
    </w:p>
  </w:footnote>
  <w:footnote w:type="continuationSeparator" w:id="0">
    <w:p w14:paraId="68084A15" w14:textId="77777777" w:rsidR="002B2D9A" w:rsidRDefault="002B2D9A"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27F9"/>
    <w:rsid w:val="001568E3"/>
    <w:rsid w:val="001C3051"/>
    <w:rsid w:val="001D5930"/>
    <w:rsid w:val="001F296F"/>
    <w:rsid w:val="00202D9E"/>
    <w:rsid w:val="0021797F"/>
    <w:rsid w:val="002216F8"/>
    <w:rsid w:val="00254908"/>
    <w:rsid w:val="00254CD4"/>
    <w:rsid w:val="002555FA"/>
    <w:rsid w:val="002577F7"/>
    <w:rsid w:val="00295CA8"/>
    <w:rsid w:val="002B2D9A"/>
    <w:rsid w:val="002C3D9C"/>
    <w:rsid w:val="002C5E3E"/>
    <w:rsid w:val="002C6FC5"/>
    <w:rsid w:val="002D7CEE"/>
    <w:rsid w:val="00303570"/>
    <w:rsid w:val="00305A87"/>
    <w:rsid w:val="00320E77"/>
    <w:rsid w:val="00325779"/>
    <w:rsid w:val="00336632"/>
    <w:rsid w:val="003A5B27"/>
    <w:rsid w:val="003C7CA2"/>
    <w:rsid w:val="003D6F59"/>
    <w:rsid w:val="003F3F57"/>
    <w:rsid w:val="004048AE"/>
    <w:rsid w:val="00431085"/>
    <w:rsid w:val="00447CBC"/>
    <w:rsid w:val="00453813"/>
    <w:rsid w:val="00480DF0"/>
    <w:rsid w:val="004816B8"/>
    <w:rsid w:val="00492B6D"/>
    <w:rsid w:val="004A550E"/>
    <w:rsid w:val="004C76E1"/>
    <w:rsid w:val="004D0406"/>
    <w:rsid w:val="004D4E12"/>
    <w:rsid w:val="004E4731"/>
    <w:rsid w:val="00500F60"/>
    <w:rsid w:val="00515D02"/>
    <w:rsid w:val="00526068"/>
    <w:rsid w:val="005261D9"/>
    <w:rsid w:val="00531253"/>
    <w:rsid w:val="00585C19"/>
    <w:rsid w:val="005D05AD"/>
    <w:rsid w:val="005D3C0C"/>
    <w:rsid w:val="005E594D"/>
    <w:rsid w:val="005E7D2A"/>
    <w:rsid w:val="00625C36"/>
    <w:rsid w:val="00640D30"/>
    <w:rsid w:val="0066050D"/>
    <w:rsid w:val="00697A33"/>
    <w:rsid w:val="006A4129"/>
    <w:rsid w:val="006B1F66"/>
    <w:rsid w:val="006C3DC5"/>
    <w:rsid w:val="00714C02"/>
    <w:rsid w:val="00735373"/>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137A"/>
    <w:rsid w:val="00932A64"/>
    <w:rsid w:val="00946A08"/>
    <w:rsid w:val="0096037F"/>
    <w:rsid w:val="00987112"/>
    <w:rsid w:val="009A0473"/>
    <w:rsid w:val="009E27EE"/>
    <w:rsid w:val="00A219A7"/>
    <w:rsid w:val="00A25AC0"/>
    <w:rsid w:val="00A53206"/>
    <w:rsid w:val="00A532C0"/>
    <w:rsid w:val="00A96E12"/>
    <w:rsid w:val="00AC18E7"/>
    <w:rsid w:val="00AE1932"/>
    <w:rsid w:val="00B03101"/>
    <w:rsid w:val="00B03760"/>
    <w:rsid w:val="00B56B60"/>
    <w:rsid w:val="00B63888"/>
    <w:rsid w:val="00B921BB"/>
    <w:rsid w:val="00BA42F4"/>
    <w:rsid w:val="00BC2DB0"/>
    <w:rsid w:val="00C45955"/>
    <w:rsid w:val="00C53987"/>
    <w:rsid w:val="00C62BFF"/>
    <w:rsid w:val="00C735D8"/>
    <w:rsid w:val="00C76664"/>
    <w:rsid w:val="00C829DC"/>
    <w:rsid w:val="00CA2D49"/>
    <w:rsid w:val="00CF6866"/>
    <w:rsid w:val="00D15465"/>
    <w:rsid w:val="00D25686"/>
    <w:rsid w:val="00D8606A"/>
    <w:rsid w:val="00D923B1"/>
    <w:rsid w:val="00D93655"/>
    <w:rsid w:val="00DB5562"/>
    <w:rsid w:val="00DC0EFC"/>
    <w:rsid w:val="00DF742B"/>
    <w:rsid w:val="00E619DE"/>
    <w:rsid w:val="00E84F82"/>
    <w:rsid w:val="00ED67D7"/>
    <w:rsid w:val="00EF076A"/>
    <w:rsid w:val="00EF5589"/>
    <w:rsid w:val="00F1057C"/>
    <w:rsid w:val="00F224D1"/>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2677</Words>
  <Characters>15262</Characters>
  <Application>Microsoft Office Word</Application>
  <DocSecurity>0</DocSecurity>
  <Lines>127</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19</cp:revision>
  <dcterms:created xsi:type="dcterms:W3CDTF">2024-04-12T06:17:00Z</dcterms:created>
  <dcterms:modified xsi:type="dcterms:W3CDTF">2026-04-03T05:15:00Z</dcterms:modified>
</cp:coreProperties>
</file>